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C4" w:rsidRPr="007275A1" w:rsidRDefault="000640C4" w:rsidP="006F3174">
      <w:pPr>
        <w:rPr>
          <w:rFonts w:ascii="Arial Black" w:hAnsi="Arial Black" w:cs="Tahoma"/>
          <w:b/>
          <w:bCs/>
          <w:sz w:val="20"/>
          <w:szCs w:val="20"/>
          <w:u w:val="single"/>
        </w:rPr>
      </w:pPr>
      <w:r w:rsidRPr="00FC0FB7">
        <w:rPr>
          <w:rFonts w:ascii="Arial Black" w:hAnsi="Arial Black" w:cs="Tahoma"/>
          <w:u w:val="single"/>
        </w:rPr>
        <w:t xml:space="preserve">IN THE </w:t>
      </w:r>
      <w:r w:rsidR="00136BA5" w:rsidRPr="00FC0FB7">
        <w:rPr>
          <w:rFonts w:ascii="Arial Black" w:hAnsi="Arial Black" w:cs="Tahoma"/>
          <w:u w:val="single"/>
        </w:rPr>
        <w:t>SUPREME</w:t>
      </w:r>
      <w:r w:rsidRPr="00FC0FB7">
        <w:rPr>
          <w:rFonts w:ascii="Arial Black" w:hAnsi="Arial Black" w:cs="Tahoma"/>
          <w:u w:val="single"/>
        </w:rPr>
        <w:t xml:space="preserve"> COURT FOR ZAMBIA</w:t>
      </w:r>
      <w:r>
        <w:rPr>
          <w:rFonts w:ascii="Arial Black" w:hAnsi="Arial Black"/>
          <w:b/>
          <w:bCs/>
          <w:sz w:val="16"/>
        </w:rPr>
        <w:tab/>
      </w:r>
      <w:r w:rsidR="0095233B">
        <w:rPr>
          <w:rFonts w:ascii="Arial Black" w:hAnsi="Arial Black"/>
          <w:b/>
          <w:bCs/>
          <w:sz w:val="16"/>
        </w:rPr>
        <w:tab/>
      </w:r>
      <w:r w:rsidR="0095233B">
        <w:rPr>
          <w:rFonts w:ascii="Arial Black" w:hAnsi="Arial Black" w:cs="Tahoma"/>
          <w:b/>
          <w:bCs/>
          <w:sz w:val="20"/>
          <w:szCs w:val="20"/>
          <w:u w:val="single"/>
        </w:rPr>
        <w:t>A</w:t>
      </w:r>
      <w:r w:rsidR="00136BA5" w:rsidRPr="007275A1">
        <w:rPr>
          <w:rFonts w:ascii="Arial Black" w:hAnsi="Arial Black" w:cs="Tahoma"/>
          <w:b/>
          <w:bCs/>
          <w:sz w:val="20"/>
          <w:szCs w:val="20"/>
          <w:u w:val="single"/>
        </w:rPr>
        <w:t>PP</w:t>
      </w:r>
      <w:r w:rsidR="0095233B">
        <w:rPr>
          <w:rFonts w:ascii="Arial Black" w:hAnsi="Arial Black" w:cs="Tahoma"/>
          <w:b/>
          <w:bCs/>
          <w:sz w:val="20"/>
          <w:szCs w:val="20"/>
          <w:u w:val="single"/>
        </w:rPr>
        <w:t>EAL NO</w:t>
      </w:r>
      <w:r w:rsidR="002D68EA">
        <w:rPr>
          <w:rFonts w:ascii="Arial Black" w:hAnsi="Arial Black" w:cs="Tahoma"/>
          <w:b/>
          <w:bCs/>
          <w:sz w:val="20"/>
          <w:szCs w:val="20"/>
          <w:u w:val="single"/>
        </w:rPr>
        <w:t xml:space="preserve">. </w:t>
      </w:r>
      <w:r w:rsidR="006F3174">
        <w:rPr>
          <w:rFonts w:ascii="Arial Black" w:hAnsi="Arial Black" w:cs="Tahoma"/>
          <w:b/>
          <w:bCs/>
          <w:sz w:val="20"/>
          <w:szCs w:val="20"/>
          <w:u w:val="single"/>
        </w:rPr>
        <w:t>187</w:t>
      </w:r>
      <w:r w:rsidR="00FC0FB7">
        <w:rPr>
          <w:rFonts w:ascii="Arial Black" w:hAnsi="Arial Black" w:cs="Tahoma"/>
          <w:b/>
          <w:bCs/>
          <w:sz w:val="20"/>
          <w:szCs w:val="20"/>
          <w:u w:val="single"/>
        </w:rPr>
        <w:t>/</w:t>
      </w:r>
      <w:r w:rsidR="00136BA5" w:rsidRPr="007275A1">
        <w:rPr>
          <w:rFonts w:ascii="Arial Black" w:hAnsi="Arial Black" w:cs="Tahoma"/>
          <w:b/>
          <w:bCs/>
          <w:sz w:val="20"/>
          <w:szCs w:val="20"/>
          <w:u w:val="single"/>
        </w:rPr>
        <w:t>20</w:t>
      </w:r>
      <w:r w:rsidR="002D68EA">
        <w:rPr>
          <w:rFonts w:ascii="Arial Black" w:hAnsi="Arial Black" w:cs="Tahoma"/>
          <w:b/>
          <w:bCs/>
          <w:sz w:val="20"/>
          <w:szCs w:val="20"/>
          <w:u w:val="single"/>
        </w:rPr>
        <w:t>0</w:t>
      </w:r>
      <w:r w:rsidR="006F3174">
        <w:rPr>
          <w:rFonts w:ascii="Arial Black" w:hAnsi="Arial Black" w:cs="Tahoma"/>
          <w:b/>
          <w:bCs/>
          <w:sz w:val="20"/>
          <w:szCs w:val="20"/>
          <w:u w:val="single"/>
        </w:rPr>
        <w:t>8</w:t>
      </w:r>
    </w:p>
    <w:p w:rsidR="000640C4" w:rsidRPr="00FC0FB7" w:rsidRDefault="000640C4" w:rsidP="006F3174">
      <w:pPr>
        <w:pStyle w:val="Heading1"/>
        <w:rPr>
          <w:sz w:val="28"/>
          <w:u w:val="none"/>
        </w:rPr>
      </w:pPr>
      <w:r w:rsidRPr="00FC0FB7">
        <w:rPr>
          <w:b/>
        </w:rPr>
        <w:t xml:space="preserve">HOLDEN AT </w:t>
      </w:r>
      <w:r w:rsidR="007275A1" w:rsidRPr="00FC0FB7">
        <w:rPr>
          <w:b/>
        </w:rPr>
        <w:t>LUSAKA</w:t>
      </w:r>
      <w:r w:rsidR="00FC0FB7">
        <w:rPr>
          <w:u w:val="none"/>
        </w:rPr>
        <w:tab/>
      </w:r>
      <w:r w:rsidR="00FC0FB7">
        <w:rPr>
          <w:u w:val="none"/>
        </w:rPr>
        <w:tab/>
      </w:r>
      <w:r w:rsidR="00FC0FB7">
        <w:rPr>
          <w:u w:val="none"/>
        </w:rPr>
        <w:tab/>
      </w:r>
      <w:r w:rsidR="00FC0FB7">
        <w:rPr>
          <w:u w:val="none"/>
        </w:rPr>
        <w:tab/>
      </w:r>
      <w:r w:rsidR="00BE244F">
        <w:rPr>
          <w:u w:val="none"/>
        </w:rPr>
        <w:tab/>
      </w:r>
      <w:r w:rsidR="00BE244F">
        <w:rPr>
          <w:u w:val="none"/>
        </w:rPr>
        <w:tab/>
        <w:t xml:space="preserve">  </w:t>
      </w:r>
      <w:r w:rsidR="00FC0FB7">
        <w:rPr>
          <w:u w:val="none"/>
        </w:rPr>
        <w:t>SCZ/8/</w:t>
      </w:r>
      <w:r w:rsidR="006F3174">
        <w:rPr>
          <w:u w:val="none"/>
        </w:rPr>
        <w:t>11</w:t>
      </w:r>
      <w:r w:rsidR="00C74326">
        <w:rPr>
          <w:u w:val="none"/>
        </w:rPr>
        <w:t>/</w:t>
      </w:r>
      <w:r w:rsidR="00FC0FB7">
        <w:rPr>
          <w:u w:val="none"/>
        </w:rPr>
        <w:t>200</w:t>
      </w:r>
      <w:r w:rsidR="006F3174">
        <w:rPr>
          <w:u w:val="none"/>
        </w:rPr>
        <w:t>8</w:t>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bookmarkStart w:id="0" w:name="_GoBack"/>
      <w:bookmarkEnd w:id="0"/>
    </w:p>
    <w:p w:rsidR="000640C4" w:rsidRDefault="000640C4"/>
    <w:p w:rsidR="000640C4" w:rsidRPr="00C74326" w:rsidRDefault="000640C4">
      <w:pPr>
        <w:rPr>
          <w:rFonts w:ascii="Copperplate Gothic Bold" w:hAnsi="Copperplate Gothic Bold" w:cs="Tahoma"/>
          <w:b/>
          <w:bCs/>
          <w:iCs/>
          <w:sz w:val="20"/>
          <w:szCs w:val="20"/>
        </w:rPr>
      </w:pPr>
      <w:r w:rsidRPr="00C74326">
        <w:rPr>
          <w:rFonts w:ascii="Copperplate Gothic Bold" w:hAnsi="Copperplate Gothic Bold" w:cs="Tahoma"/>
          <w:b/>
          <w:bCs/>
          <w:iCs/>
          <w:sz w:val="20"/>
          <w:szCs w:val="20"/>
        </w:rPr>
        <w:t>B E T W E EN :</w:t>
      </w:r>
    </w:p>
    <w:p w:rsidR="001D5693" w:rsidRDefault="001D5693" w:rsidP="00B56EBF">
      <w:pPr>
        <w:rPr>
          <w:rFonts w:ascii="Bookman Old Style" w:hAnsi="Bookman Old Style"/>
          <w:b/>
          <w:bCs/>
        </w:rPr>
      </w:pPr>
    </w:p>
    <w:p w:rsidR="00FC0FB7" w:rsidRDefault="006F3174" w:rsidP="006F3174">
      <w:pPr>
        <w:rPr>
          <w:rFonts w:ascii="Copperplate Gothic Bold" w:hAnsi="Copperplate Gothic Bold" w:cs="Tahoma"/>
          <w:b/>
          <w:bCs/>
        </w:rPr>
      </w:pPr>
      <w:r>
        <w:rPr>
          <w:rFonts w:ascii="Copperplate Gothic Bold" w:hAnsi="Copperplate Gothic Bold"/>
          <w:b/>
          <w:bCs/>
        </w:rPr>
        <w:t>AGRO FUEL INVESTMENT LIMITED</w:t>
      </w:r>
      <w:r w:rsidR="00C74EAF">
        <w:rPr>
          <w:rFonts w:ascii="Copperplate Gothic Bold" w:hAnsi="Copperplate Gothic Bold"/>
          <w:b/>
          <w:bCs/>
        </w:rPr>
        <w:tab/>
      </w:r>
      <w:r w:rsidR="0095233B" w:rsidRPr="00C74326">
        <w:rPr>
          <w:rFonts w:ascii="Copperplate Gothic Bold" w:hAnsi="Copperplate Gothic Bold"/>
          <w:b/>
          <w:bCs/>
        </w:rPr>
        <w:tab/>
      </w:r>
      <w:r w:rsidR="0095233B" w:rsidRPr="00C74326">
        <w:rPr>
          <w:rFonts w:ascii="Copperplate Gothic Bold" w:hAnsi="Copperplate Gothic Bold"/>
          <w:b/>
          <w:bCs/>
        </w:rPr>
        <w:tab/>
      </w:r>
      <w:r w:rsidR="00655010" w:rsidRPr="003C7DDE">
        <w:rPr>
          <w:rFonts w:ascii="Arial Black" w:hAnsi="Arial Black" w:cs="Tahoma"/>
          <w:b/>
          <w:bCs/>
        </w:rPr>
        <w:tab/>
      </w:r>
      <w:r w:rsidR="00655010" w:rsidRPr="00C74326">
        <w:rPr>
          <w:rFonts w:ascii="Copperplate Gothic Bold" w:hAnsi="Copperplate Gothic Bold" w:cs="Tahoma"/>
          <w:b/>
          <w:bCs/>
          <w:u w:val="single"/>
        </w:rPr>
        <w:t>APPELLANT</w:t>
      </w:r>
    </w:p>
    <w:p w:rsidR="008134F6" w:rsidRPr="00C74326" w:rsidRDefault="008134F6" w:rsidP="00C74326">
      <w:pPr>
        <w:rPr>
          <w:rFonts w:ascii="Copperplate Gothic Bold" w:hAnsi="Copperplate Gothic Bold" w:cs="Tahoma"/>
          <w:b/>
          <w:bCs/>
        </w:rPr>
      </w:pPr>
    </w:p>
    <w:p w:rsidR="000640C4" w:rsidRDefault="000640C4">
      <w:pPr>
        <w:rPr>
          <w:rFonts w:ascii="Copperplate Gothic Bold" w:hAnsi="Copperplate Gothic Bold" w:cs="Tahoma"/>
          <w:b/>
          <w:bCs/>
          <w:sz w:val="20"/>
          <w:szCs w:val="20"/>
        </w:rPr>
      </w:pPr>
      <w:r w:rsidRPr="00C74326">
        <w:rPr>
          <w:rFonts w:ascii="Copperplate Gothic Bold" w:hAnsi="Copperplate Gothic Bold" w:cs="Tahoma"/>
          <w:b/>
          <w:bCs/>
          <w:sz w:val="20"/>
          <w:szCs w:val="20"/>
        </w:rPr>
        <w:t>AND</w:t>
      </w:r>
    </w:p>
    <w:p w:rsidR="008134F6" w:rsidRPr="00C74326" w:rsidRDefault="008134F6">
      <w:pPr>
        <w:rPr>
          <w:rFonts w:ascii="Copperplate Gothic Bold" w:hAnsi="Copperplate Gothic Bold" w:cs="Tahoma"/>
          <w:b/>
          <w:bCs/>
          <w:sz w:val="20"/>
          <w:szCs w:val="20"/>
        </w:rPr>
      </w:pPr>
    </w:p>
    <w:p w:rsidR="000640C4" w:rsidRDefault="006F3174" w:rsidP="006F3174">
      <w:pPr>
        <w:rPr>
          <w:rFonts w:ascii="Copperplate Gothic Bold" w:hAnsi="Copperplate Gothic Bold" w:cs="Tahoma"/>
          <w:b/>
          <w:bCs/>
          <w:u w:val="single"/>
        </w:rPr>
      </w:pPr>
      <w:r>
        <w:rPr>
          <w:rFonts w:ascii="Copperplate Gothic Bold" w:hAnsi="Copperplate Gothic Bold" w:cs="Tahoma"/>
          <w:b/>
          <w:bCs/>
        </w:rPr>
        <w:t>ZAMBIA REVENUE AUTHORITY</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sidR="00C74326">
        <w:rPr>
          <w:rFonts w:ascii="Copperplate Gothic Bold" w:hAnsi="Copperplate Gothic Bold" w:cs="Tahoma"/>
          <w:b/>
          <w:bCs/>
        </w:rPr>
        <w:t xml:space="preserve"> </w:t>
      </w:r>
      <w:r w:rsidR="000640C4" w:rsidRPr="00C74326">
        <w:rPr>
          <w:rFonts w:ascii="Copperplate Gothic Bold" w:hAnsi="Copperplate Gothic Bold" w:cs="Tahoma"/>
          <w:b/>
          <w:bCs/>
          <w:u w:val="single"/>
        </w:rPr>
        <w:t>RESPONDENT</w:t>
      </w:r>
    </w:p>
    <w:p w:rsidR="00C74326" w:rsidRPr="00C74326" w:rsidRDefault="00C74326" w:rsidP="00FF7FFD">
      <w:pPr>
        <w:rPr>
          <w:rFonts w:ascii="Copperplate Gothic Bold" w:hAnsi="Copperplate Gothic Bold" w:cs="Tahoma"/>
          <w:b/>
          <w:bCs/>
        </w:rPr>
      </w:pPr>
    </w:p>
    <w:p w:rsidR="009627EF" w:rsidRDefault="009627EF" w:rsidP="009627EF">
      <w:pPr>
        <w:tabs>
          <w:tab w:val="left" w:pos="5400"/>
        </w:tabs>
        <w:rPr>
          <w:rFonts w:ascii="Franklin Gothic Medium" w:hAnsi="Franklin Gothic Medium" w:cs="Tahoma"/>
          <w:b/>
          <w:bCs/>
          <w:sz w:val="28"/>
          <w:szCs w:val="28"/>
        </w:rPr>
      </w:pPr>
      <w:r>
        <w:rPr>
          <w:rFonts w:ascii="Franklin Gothic Medium" w:hAnsi="Franklin Gothic Medium" w:cs="Tahoma"/>
          <w:b/>
          <w:bCs/>
          <w:sz w:val="28"/>
          <w:szCs w:val="28"/>
        </w:rPr>
        <w:tab/>
      </w:r>
    </w:p>
    <w:p w:rsidR="009627EF" w:rsidRDefault="009627EF" w:rsidP="009627EF">
      <w:pPr>
        <w:tabs>
          <w:tab w:val="left" w:pos="5400"/>
        </w:tabs>
        <w:rPr>
          <w:rFonts w:ascii="Franklin Gothic Medium" w:hAnsi="Franklin Gothic Medium" w:cs="Tahoma"/>
          <w:b/>
          <w:bCs/>
          <w:sz w:val="28"/>
          <w:szCs w:val="28"/>
        </w:rPr>
      </w:pPr>
    </w:p>
    <w:p w:rsidR="00136BA5" w:rsidRDefault="008134F6" w:rsidP="006F3174">
      <w:pPr>
        <w:rPr>
          <w:rFonts w:ascii="Tahoma" w:hAnsi="Tahoma" w:cs="Tahoma"/>
          <w:b/>
          <w:bCs/>
          <w:sz w:val="28"/>
        </w:rPr>
      </w:pPr>
      <w:r w:rsidRPr="008134F6">
        <w:rPr>
          <w:rFonts w:ascii="Franklin Gothic Medium" w:hAnsi="Franklin Gothic Medium" w:cs="Tahoma"/>
          <w:b/>
          <w:bCs/>
          <w:sz w:val="28"/>
          <w:szCs w:val="28"/>
        </w:rPr>
        <w:tab/>
        <w:t>CORAM:</w:t>
      </w:r>
      <w:r w:rsidRPr="008134F6">
        <w:rPr>
          <w:rFonts w:ascii="Franklin Gothic Medium" w:hAnsi="Franklin Gothic Medium" w:cs="Tahoma"/>
          <w:b/>
          <w:bCs/>
        </w:rPr>
        <w:tab/>
      </w:r>
      <w:r w:rsidR="006107F2" w:rsidRPr="008134F6">
        <w:rPr>
          <w:rFonts w:ascii="Franklin Gothic Medium" w:hAnsi="Franklin Gothic Medium" w:cs="Tahoma"/>
          <w:b/>
          <w:bCs/>
        </w:rPr>
        <w:t xml:space="preserve"> </w:t>
      </w:r>
      <w:r w:rsidR="006F3174">
        <w:rPr>
          <w:rFonts w:ascii="Franklin Gothic Medium" w:hAnsi="Franklin Gothic Medium" w:cs="Tahoma"/>
          <w:b/>
          <w:bCs/>
        </w:rPr>
        <w:t>C</w:t>
      </w:r>
      <w:r w:rsidR="00FF7FFD">
        <w:rPr>
          <w:rFonts w:ascii="Arial Rounded MT Bold" w:hAnsi="Arial Rounded MT Bold" w:cs="Tahoma"/>
          <w:b/>
          <w:bCs/>
        </w:rPr>
        <w:t>hibesakunda,</w:t>
      </w:r>
      <w:r w:rsidR="006F3174">
        <w:rPr>
          <w:rFonts w:ascii="Arial Rounded MT Bold" w:hAnsi="Arial Rounded MT Bold" w:cs="Tahoma"/>
          <w:b/>
          <w:bCs/>
        </w:rPr>
        <w:t xml:space="preserve"> Silomba,</w:t>
      </w:r>
      <w:r w:rsidR="00FF7FFD">
        <w:rPr>
          <w:rFonts w:ascii="Arial Rounded MT Bold" w:hAnsi="Arial Rounded MT Bold" w:cs="Tahoma"/>
          <w:b/>
          <w:bCs/>
        </w:rPr>
        <w:t xml:space="preserve"> M</w:t>
      </w:r>
      <w:r w:rsidR="006107F2" w:rsidRPr="008134F6">
        <w:rPr>
          <w:rFonts w:ascii="Arial Rounded MT Bold" w:hAnsi="Arial Rounded MT Bold" w:cs="Tahoma"/>
          <w:b/>
          <w:bCs/>
        </w:rPr>
        <w:t>wanamwambwa,</w:t>
      </w:r>
      <w:r w:rsidR="00136BA5" w:rsidRPr="008134F6">
        <w:rPr>
          <w:rFonts w:ascii="Arial Rounded MT Bold" w:hAnsi="Arial Rounded MT Bold" w:cs="Tahoma"/>
          <w:b/>
          <w:bCs/>
        </w:rPr>
        <w:t xml:space="preserve"> J.J.S.</w:t>
      </w:r>
    </w:p>
    <w:p w:rsidR="000640C4" w:rsidRPr="00FF7FFD" w:rsidRDefault="000640C4" w:rsidP="00957040">
      <w:pPr>
        <w:rPr>
          <w:rFonts w:ascii="Bookman Old Style" w:hAnsi="Bookman Old Style" w:cs="Tahoma"/>
          <w:b/>
          <w:bCs/>
          <w:i/>
        </w:rPr>
      </w:pPr>
      <w:r>
        <w:rPr>
          <w:rFonts w:ascii="Tahoma" w:hAnsi="Tahoma" w:cs="Tahoma"/>
          <w:b/>
          <w:bCs/>
          <w:sz w:val="28"/>
        </w:rPr>
        <w:tab/>
      </w:r>
      <w:r w:rsidR="00136BA5">
        <w:rPr>
          <w:rFonts w:ascii="Tahoma" w:hAnsi="Tahoma" w:cs="Tahoma"/>
          <w:b/>
          <w:bCs/>
          <w:sz w:val="28"/>
        </w:rPr>
        <w:tab/>
      </w:r>
      <w:r w:rsidR="00136BA5">
        <w:rPr>
          <w:rFonts w:ascii="Tahoma" w:hAnsi="Tahoma" w:cs="Tahoma"/>
          <w:b/>
          <w:bCs/>
          <w:sz w:val="28"/>
        </w:rPr>
        <w:tab/>
      </w:r>
      <w:r w:rsidR="00FF7FFD">
        <w:rPr>
          <w:rFonts w:ascii="Bookman Old Style" w:hAnsi="Bookman Old Style" w:cs="Tahoma"/>
          <w:i/>
        </w:rPr>
        <w:tab/>
      </w:r>
      <w:r w:rsidR="00136BA5" w:rsidRPr="00FF7FFD">
        <w:rPr>
          <w:rFonts w:ascii="Bookman Old Style" w:hAnsi="Bookman Old Style" w:cs="Tahoma"/>
          <w:b/>
          <w:bCs/>
          <w:i/>
        </w:rPr>
        <w:t xml:space="preserve">On </w:t>
      </w:r>
      <w:r w:rsidR="006F3174">
        <w:rPr>
          <w:rFonts w:ascii="Bookman Old Style" w:hAnsi="Bookman Old Style" w:cs="Tahoma"/>
          <w:b/>
          <w:bCs/>
          <w:i/>
        </w:rPr>
        <w:t>7</w:t>
      </w:r>
      <w:r w:rsidR="006F3174" w:rsidRPr="006F3174">
        <w:rPr>
          <w:rFonts w:ascii="Bookman Old Style" w:hAnsi="Bookman Old Style" w:cs="Tahoma"/>
          <w:b/>
          <w:bCs/>
          <w:i/>
          <w:vertAlign w:val="superscript"/>
        </w:rPr>
        <w:t>th</w:t>
      </w:r>
      <w:r w:rsidR="006F3174">
        <w:rPr>
          <w:rFonts w:ascii="Bookman Old Style" w:hAnsi="Bookman Old Style" w:cs="Tahoma"/>
          <w:b/>
          <w:bCs/>
          <w:i/>
        </w:rPr>
        <w:t xml:space="preserve"> April</w:t>
      </w:r>
      <w:r w:rsidR="00FF7FFD" w:rsidRPr="00FF7FFD">
        <w:rPr>
          <w:rFonts w:ascii="Bookman Old Style" w:hAnsi="Bookman Old Style" w:cs="Tahoma"/>
          <w:b/>
          <w:bCs/>
          <w:i/>
        </w:rPr>
        <w:t xml:space="preserve"> 2009</w:t>
      </w:r>
      <w:r w:rsidR="00BE244F" w:rsidRPr="00FF7FFD">
        <w:rPr>
          <w:rFonts w:ascii="Bookman Old Style" w:hAnsi="Bookman Old Style" w:cs="Tahoma"/>
          <w:b/>
          <w:bCs/>
          <w:i/>
        </w:rPr>
        <w:t xml:space="preserve"> and</w:t>
      </w:r>
      <w:r w:rsidR="002821C0" w:rsidRPr="00FF7FFD">
        <w:rPr>
          <w:rFonts w:ascii="Bookman Old Style" w:hAnsi="Bookman Old Style" w:cs="Tahoma"/>
          <w:b/>
          <w:bCs/>
          <w:i/>
        </w:rPr>
        <w:t xml:space="preserve"> </w:t>
      </w:r>
      <w:r w:rsidR="00957040">
        <w:rPr>
          <w:rFonts w:ascii="Bookman Old Style" w:hAnsi="Bookman Old Style" w:cs="Tahoma"/>
          <w:b/>
          <w:bCs/>
          <w:i/>
        </w:rPr>
        <w:t>16</w:t>
      </w:r>
      <w:r w:rsidR="00957040" w:rsidRPr="00957040">
        <w:rPr>
          <w:rFonts w:ascii="Bookman Old Style" w:hAnsi="Bookman Old Style" w:cs="Tahoma"/>
          <w:b/>
          <w:bCs/>
          <w:i/>
          <w:vertAlign w:val="superscript"/>
        </w:rPr>
        <w:t>TH</w:t>
      </w:r>
      <w:r w:rsidR="00957040">
        <w:rPr>
          <w:rFonts w:ascii="Bookman Old Style" w:hAnsi="Bookman Old Style" w:cs="Tahoma"/>
          <w:b/>
          <w:bCs/>
          <w:i/>
        </w:rPr>
        <w:t xml:space="preserve"> </w:t>
      </w:r>
      <w:r w:rsidR="006F3174">
        <w:rPr>
          <w:rFonts w:ascii="Bookman Old Style" w:hAnsi="Bookman Old Style" w:cs="Tahoma"/>
          <w:b/>
          <w:bCs/>
          <w:i/>
        </w:rPr>
        <w:t>March</w:t>
      </w:r>
      <w:r w:rsidR="00BE244F" w:rsidRPr="00FF7FFD">
        <w:rPr>
          <w:rFonts w:ascii="Bookman Old Style" w:hAnsi="Bookman Old Style" w:cs="Tahoma"/>
          <w:b/>
          <w:bCs/>
          <w:i/>
        </w:rPr>
        <w:t xml:space="preserve"> </w:t>
      </w:r>
      <w:r w:rsidR="002821C0" w:rsidRPr="00FF7FFD">
        <w:rPr>
          <w:rFonts w:ascii="Bookman Old Style" w:hAnsi="Bookman Old Style" w:cs="Tahoma"/>
          <w:b/>
          <w:bCs/>
          <w:i/>
        </w:rPr>
        <w:t>201</w:t>
      </w:r>
      <w:r w:rsidR="00FF7FFD" w:rsidRPr="00FF7FFD">
        <w:rPr>
          <w:rFonts w:ascii="Bookman Old Style" w:hAnsi="Bookman Old Style" w:cs="Tahoma"/>
          <w:b/>
          <w:bCs/>
          <w:i/>
        </w:rPr>
        <w:t>2</w:t>
      </w:r>
    </w:p>
    <w:p w:rsidR="002821C0" w:rsidRPr="007275A1" w:rsidRDefault="002821C0">
      <w:pPr>
        <w:rPr>
          <w:rFonts w:ascii="Tahoma" w:hAnsi="Tahoma" w:cs="Tahoma"/>
          <w:bCs/>
          <w:sz w:val="28"/>
        </w:rPr>
      </w:pPr>
    </w:p>
    <w:p w:rsidR="000640C4" w:rsidRPr="007275A1" w:rsidRDefault="000640C4" w:rsidP="006F3174">
      <w:pPr>
        <w:pStyle w:val="Heading2"/>
        <w:ind w:left="4320" w:hanging="3600"/>
        <w:rPr>
          <w:rFonts w:ascii="CG Times" w:hAnsi="CG Times" w:cs="Tahoma"/>
          <w:b w:val="0"/>
          <w:bCs w:val="0"/>
          <w:i/>
          <w:sz w:val="28"/>
        </w:rPr>
      </w:pPr>
      <w:r w:rsidRPr="007275A1">
        <w:rPr>
          <w:rFonts w:ascii="CG Times" w:hAnsi="CG Times" w:cs="Tahoma"/>
          <w:b w:val="0"/>
          <w:bCs w:val="0"/>
          <w:i/>
          <w:sz w:val="28"/>
        </w:rPr>
        <w:t>For The Appellant</w:t>
      </w:r>
      <w:r w:rsidR="006A089B">
        <w:rPr>
          <w:rFonts w:ascii="CG Times" w:hAnsi="CG Times" w:cs="Tahoma"/>
          <w:b w:val="0"/>
          <w:bCs w:val="0"/>
          <w:i/>
          <w:sz w:val="28"/>
        </w:rPr>
        <w:t>:</w:t>
      </w:r>
      <w:r w:rsidR="00854277">
        <w:rPr>
          <w:rFonts w:ascii="CG Times" w:hAnsi="CG Times" w:cs="Tahoma"/>
          <w:b w:val="0"/>
          <w:bCs w:val="0"/>
          <w:i/>
          <w:sz w:val="28"/>
        </w:rPr>
        <w:tab/>
      </w:r>
      <w:r w:rsidR="006F3174">
        <w:rPr>
          <w:rFonts w:ascii="CG Times" w:hAnsi="CG Times" w:cs="Tahoma"/>
          <w:b w:val="0"/>
          <w:bCs w:val="0"/>
          <w:i/>
          <w:sz w:val="28"/>
        </w:rPr>
        <w:t>Mr. M. Mundashi of Messrs Mulenga, Mundashi and Company</w:t>
      </w:r>
    </w:p>
    <w:p w:rsidR="008134F6" w:rsidRDefault="000640C4" w:rsidP="00463B78">
      <w:pPr>
        <w:ind w:left="4320" w:hanging="3600"/>
        <w:rPr>
          <w:rFonts w:ascii="CG Times" w:hAnsi="CG Times" w:cs="Tahoma"/>
          <w:i/>
          <w:sz w:val="28"/>
        </w:rPr>
      </w:pPr>
      <w:r w:rsidRPr="007275A1">
        <w:rPr>
          <w:rFonts w:ascii="CG Times" w:hAnsi="CG Times" w:cs="Tahoma"/>
          <w:i/>
          <w:sz w:val="28"/>
        </w:rPr>
        <w:t>For t</w:t>
      </w:r>
      <w:r w:rsidR="00655010">
        <w:rPr>
          <w:rFonts w:ascii="CG Times" w:hAnsi="CG Times" w:cs="Tahoma"/>
          <w:i/>
          <w:sz w:val="28"/>
        </w:rPr>
        <w:t>h</w:t>
      </w:r>
      <w:r w:rsidR="006F3174">
        <w:rPr>
          <w:rFonts w:ascii="CG Times" w:hAnsi="CG Times" w:cs="Tahoma"/>
          <w:i/>
          <w:sz w:val="28"/>
        </w:rPr>
        <w:t xml:space="preserve">e </w:t>
      </w:r>
      <w:r w:rsidR="00B56EBF" w:rsidRPr="007275A1">
        <w:rPr>
          <w:rFonts w:ascii="CG Times" w:hAnsi="CG Times" w:cs="Tahoma"/>
          <w:i/>
          <w:sz w:val="28"/>
        </w:rPr>
        <w:t>Respondent</w:t>
      </w:r>
      <w:r w:rsidRPr="007275A1">
        <w:rPr>
          <w:rFonts w:ascii="CG Times" w:hAnsi="CG Times" w:cs="Tahoma"/>
          <w:i/>
          <w:sz w:val="28"/>
        </w:rPr>
        <w:t>:</w:t>
      </w:r>
      <w:r w:rsidRPr="007275A1">
        <w:rPr>
          <w:rFonts w:ascii="CG Times" w:hAnsi="CG Times" w:cs="Tahoma"/>
          <w:i/>
          <w:sz w:val="28"/>
        </w:rPr>
        <w:tab/>
      </w:r>
      <w:r w:rsidR="006F3174">
        <w:rPr>
          <w:rFonts w:ascii="CG Times" w:hAnsi="CG Times" w:cs="Tahoma"/>
          <w:i/>
          <w:sz w:val="28"/>
        </w:rPr>
        <w:t>Mr. G. Locha</w:t>
      </w:r>
      <w:r w:rsidR="00463B78">
        <w:rPr>
          <w:rFonts w:ascii="CG Times" w:hAnsi="CG Times" w:cs="Tahoma"/>
          <w:i/>
          <w:sz w:val="28"/>
        </w:rPr>
        <w:t xml:space="preserve">, </w:t>
      </w:r>
      <w:r w:rsidR="00A56383">
        <w:rPr>
          <w:rFonts w:ascii="CG Times" w:hAnsi="CG Times" w:cs="Tahoma"/>
          <w:i/>
          <w:sz w:val="28"/>
        </w:rPr>
        <w:t>In</w:t>
      </w:r>
      <w:r w:rsidR="00463B78">
        <w:rPr>
          <w:rFonts w:ascii="CG Times" w:hAnsi="CG Times" w:cs="Tahoma"/>
          <w:i/>
          <w:sz w:val="28"/>
        </w:rPr>
        <w:t xml:space="preserve"> House Counsel, Zambia Revenue Authority.</w:t>
      </w:r>
    </w:p>
    <w:p w:rsidR="000640C4" w:rsidRPr="007275A1" w:rsidRDefault="00BA7E9D" w:rsidP="008D3DEF">
      <w:pPr>
        <w:rPr>
          <w:rFonts w:ascii="Bookman Old Style" w:hAnsi="Bookman Old Style"/>
          <w:b/>
          <w:bCs/>
          <w:i/>
        </w:rPr>
      </w:pPr>
      <w:r w:rsidRPr="00BA7E9D">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BA7E9D" w:rsidP="008D3DEF">
      <w:pPr>
        <w:rPr>
          <w:rFonts w:ascii="Arial Black" w:hAnsi="Arial Black"/>
          <w:b/>
          <w:bCs/>
        </w:rPr>
      </w:pPr>
      <w:r w:rsidRPr="00BA7E9D">
        <w:rPr>
          <w:rFonts w:ascii="Bookman Old Style" w:hAnsi="Bookman Old Style"/>
          <w:b/>
          <w:bCs/>
        </w:rPr>
        <w:pict>
          <v:rect id="_x0000_i1026" style="width:0;height:1.5pt" o:hralign="center" o:hrstd="t" o:hr="t" fillcolor="#aca899" stroked="f"/>
        </w:pict>
      </w:r>
    </w:p>
    <w:p w:rsidR="004867C6" w:rsidRPr="007275A1" w:rsidRDefault="00B56EBF" w:rsidP="008D3DEF">
      <w:pPr>
        <w:rPr>
          <w:rFonts w:ascii="Arial Rounded MT Bold" w:hAnsi="Arial Rounded MT Bold" w:cs="Tahoma"/>
          <w:b/>
          <w:bCs/>
          <w:iCs/>
        </w:rPr>
      </w:pPr>
      <w:r w:rsidRPr="007275A1">
        <w:rPr>
          <w:rFonts w:ascii="Arial Rounded MT Bold" w:hAnsi="Arial Rounded MT Bold" w:cs="Tahoma"/>
          <w:b/>
          <w:bCs/>
          <w:iCs/>
        </w:rPr>
        <w:t>Mwanamwambwa</w:t>
      </w:r>
      <w:r w:rsidR="004867C6" w:rsidRPr="007275A1">
        <w:rPr>
          <w:rFonts w:ascii="Arial Rounded MT Bold" w:hAnsi="Arial Rounded MT Bold" w:cs="Tahoma"/>
          <w:b/>
          <w:bCs/>
          <w:iCs/>
        </w:rPr>
        <w:t>, JS</w:t>
      </w:r>
      <w:r w:rsidR="00322933" w:rsidRPr="007275A1">
        <w:rPr>
          <w:rFonts w:ascii="Arial Rounded MT Bold" w:hAnsi="Arial Rounded MT Bold" w:cs="Tahoma"/>
          <w:b/>
          <w:bCs/>
          <w:iCs/>
        </w:rPr>
        <w:t>,</w:t>
      </w:r>
      <w:r w:rsidR="004867C6" w:rsidRPr="007275A1">
        <w:rPr>
          <w:rFonts w:ascii="Arial Rounded MT Bold" w:hAnsi="Arial Rounded MT Bold" w:cs="Tahoma"/>
          <w:b/>
          <w:bCs/>
          <w:iCs/>
        </w:rPr>
        <w:t xml:space="preserve"> delivered the Judgment of the Court.</w:t>
      </w:r>
    </w:p>
    <w:p w:rsidR="008E2539" w:rsidRDefault="008E2539" w:rsidP="001857DC">
      <w:pPr>
        <w:spacing w:line="360" w:lineRule="auto"/>
        <w:rPr>
          <w:rFonts w:ascii="Arial Rounded MT Bold" w:hAnsi="Arial Rounded MT Bold" w:cs="Tahoma"/>
          <w:b/>
          <w:i/>
        </w:rPr>
      </w:pPr>
    </w:p>
    <w:p w:rsidR="00322933" w:rsidRPr="00416F40" w:rsidRDefault="00A42C4C" w:rsidP="001857DC">
      <w:pPr>
        <w:spacing w:line="360" w:lineRule="auto"/>
        <w:rPr>
          <w:rFonts w:ascii="Arial" w:eastAsia="Batang" w:hAnsi="Arial" w:cs="Arial"/>
          <w:b/>
          <w:i/>
          <w:sz w:val="32"/>
          <w:szCs w:val="32"/>
        </w:rPr>
      </w:pPr>
      <w:r w:rsidRPr="00416F40">
        <w:rPr>
          <w:rFonts w:ascii="Arial" w:eastAsia="Batang" w:hAnsi="Arial" w:cs="Arial"/>
          <w:b/>
          <w:i/>
          <w:sz w:val="32"/>
          <w:szCs w:val="32"/>
        </w:rPr>
        <w:t>Case</w:t>
      </w:r>
      <w:r w:rsidR="004920AF" w:rsidRPr="00416F40">
        <w:rPr>
          <w:rFonts w:ascii="Arial" w:eastAsia="Batang" w:hAnsi="Arial" w:cs="Arial"/>
          <w:b/>
          <w:i/>
          <w:sz w:val="32"/>
          <w:szCs w:val="32"/>
        </w:rPr>
        <w:t>s</w:t>
      </w:r>
      <w:r w:rsidRPr="00416F40">
        <w:rPr>
          <w:rFonts w:ascii="Arial" w:eastAsia="Batang" w:hAnsi="Arial" w:cs="Arial"/>
          <w:b/>
          <w:i/>
          <w:sz w:val="32"/>
          <w:szCs w:val="32"/>
        </w:rPr>
        <w:t xml:space="preserve"> </w:t>
      </w:r>
      <w:r w:rsidR="00805E93" w:rsidRPr="00416F40">
        <w:rPr>
          <w:rFonts w:ascii="Arial" w:eastAsia="Batang" w:hAnsi="Arial" w:cs="Arial"/>
          <w:b/>
          <w:i/>
          <w:sz w:val="32"/>
          <w:szCs w:val="32"/>
        </w:rPr>
        <w:t>Referred to:</w:t>
      </w:r>
    </w:p>
    <w:p w:rsidR="00416F40" w:rsidRPr="00416F40" w:rsidRDefault="00561C79" w:rsidP="00561C79">
      <w:pPr>
        <w:numPr>
          <w:ilvl w:val="0"/>
          <w:numId w:val="1"/>
        </w:numPr>
        <w:ind w:left="1077"/>
        <w:rPr>
          <w:rFonts w:ascii="Arial Rounded MT Bold" w:hAnsi="Arial Rounded MT Bold" w:cs="Tahoma"/>
          <w:b/>
          <w:i/>
        </w:rPr>
      </w:pPr>
      <w:r>
        <w:rPr>
          <w:rFonts w:ascii="Arial Rounded MT Bold" w:hAnsi="Arial Rounded MT Bold" w:cs="Tahoma"/>
          <w:b/>
          <w:u w:val="single"/>
        </w:rPr>
        <w:t xml:space="preserve">Eastern Co-operative Union </w:t>
      </w:r>
      <w:r w:rsidR="00416F40">
        <w:rPr>
          <w:rFonts w:ascii="Arial Rounded MT Bold" w:hAnsi="Arial Rounded MT Bold" w:cs="Tahoma"/>
          <w:b/>
          <w:u w:val="single"/>
        </w:rPr>
        <w:t xml:space="preserve"> v </w:t>
      </w:r>
      <w:r>
        <w:rPr>
          <w:rFonts w:ascii="Arial Rounded MT Bold" w:hAnsi="Arial Rounded MT Bold" w:cs="Tahoma"/>
          <w:b/>
          <w:u w:val="single"/>
        </w:rPr>
        <w:t>Yamene Transport Limited</w:t>
      </w:r>
      <w:r w:rsidR="00416F40">
        <w:rPr>
          <w:rFonts w:ascii="Arial Rounded MT Bold" w:hAnsi="Arial Rounded MT Bold" w:cs="Tahoma"/>
          <w:b/>
          <w:iCs/>
        </w:rPr>
        <w:t xml:space="preserve"> [19</w:t>
      </w:r>
      <w:r>
        <w:rPr>
          <w:rFonts w:ascii="Arial Rounded MT Bold" w:hAnsi="Arial Rounded MT Bold" w:cs="Tahoma"/>
          <w:b/>
          <w:iCs/>
        </w:rPr>
        <w:t>88 -1989</w:t>
      </w:r>
      <w:r w:rsidR="00416F40">
        <w:rPr>
          <w:rFonts w:ascii="Arial Rounded MT Bold" w:hAnsi="Arial Rounded MT Bold" w:cs="Tahoma"/>
          <w:b/>
          <w:iCs/>
        </w:rPr>
        <w:t xml:space="preserve">] </w:t>
      </w:r>
      <w:r>
        <w:rPr>
          <w:rFonts w:ascii="Arial Rounded MT Bold" w:hAnsi="Arial Rounded MT Bold" w:cs="Tahoma"/>
          <w:b/>
          <w:iCs/>
        </w:rPr>
        <w:t>Z.R. 126</w:t>
      </w:r>
      <w:r w:rsidR="00416F40">
        <w:rPr>
          <w:rFonts w:ascii="Arial Rounded MT Bold" w:hAnsi="Arial Rounded MT Bold" w:cs="Tahoma"/>
          <w:b/>
          <w:iCs/>
        </w:rPr>
        <w:t>.</w:t>
      </w:r>
    </w:p>
    <w:p w:rsidR="00805E93" w:rsidRDefault="00561C79" w:rsidP="00561C79">
      <w:pPr>
        <w:numPr>
          <w:ilvl w:val="0"/>
          <w:numId w:val="1"/>
        </w:numPr>
        <w:ind w:left="1077"/>
        <w:rPr>
          <w:rFonts w:ascii="Arial Rounded MT Bold" w:hAnsi="Arial Rounded MT Bold" w:cs="Tahoma"/>
          <w:b/>
          <w:i/>
        </w:rPr>
      </w:pPr>
      <w:r>
        <w:rPr>
          <w:rFonts w:ascii="Arial Rounded MT Bold" w:hAnsi="Arial Rounded MT Bold" w:cs="Tahoma"/>
          <w:b/>
          <w:u w:val="single"/>
        </w:rPr>
        <w:t>Kapembwa v Maimbolwa &amp; Attorney General</w:t>
      </w:r>
      <w:r w:rsidR="004920AF" w:rsidRPr="00416F40">
        <w:rPr>
          <w:rFonts w:ascii="Arial Rounded MT Bold" w:hAnsi="Arial Rounded MT Bold" w:cs="Tahoma"/>
          <w:b/>
        </w:rPr>
        <w:t xml:space="preserve">  </w:t>
      </w:r>
      <w:r w:rsidR="00416F40">
        <w:rPr>
          <w:rFonts w:ascii="Arial Rounded MT Bold" w:hAnsi="Arial Rounded MT Bold" w:cs="Tahoma"/>
          <w:b/>
          <w:bCs/>
        </w:rPr>
        <w:t>[19</w:t>
      </w:r>
      <w:r>
        <w:rPr>
          <w:rFonts w:ascii="Arial Rounded MT Bold" w:hAnsi="Arial Rounded MT Bold" w:cs="Tahoma"/>
          <w:b/>
          <w:bCs/>
        </w:rPr>
        <w:t>81</w:t>
      </w:r>
      <w:r w:rsidR="00805E93" w:rsidRPr="00416F40">
        <w:rPr>
          <w:rFonts w:ascii="Arial Rounded MT Bold" w:hAnsi="Arial Rounded MT Bold" w:cs="Tahoma"/>
          <w:b/>
        </w:rPr>
        <w:t xml:space="preserve">] </w:t>
      </w:r>
      <w:r>
        <w:rPr>
          <w:rFonts w:ascii="Arial Rounded MT Bold" w:hAnsi="Arial Rounded MT Bold" w:cs="Tahoma"/>
          <w:b/>
        </w:rPr>
        <w:t>Z.R. 127</w:t>
      </w:r>
      <w:r w:rsidR="00FF4C32" w:rsidRPr="00416F40">
        <w:rPr>
          <w:rFonts w:ascii="Arial Rounded MT Bold" w:hAnsi="Arial Rounded MT Bold" w:cs="Tahoma"/>
          <w:b/>
        </w:rPr>
        <w:t>.</w:t>
      </w:r>
    </w:p>
    <w:p w:rsidR="00283B08" w:rsidRPr="00283B08" w:rsidRDefault="00B6406B" w:rsidP="00B6406B">
      <w:pPr>
        <w:numPr>
          <w:ilvl w:val="0"/>
          <w:numId w:val="1"/>
        </w:numPr>
        <w:ind w:left="1077"/>
        <w:rPr>
          <w:rFonts w:ascii="Arial Rounded MT Bold" w:hAnsi="Arial Rounded MT Bold" w:cs="Tahoma"/>
          <w:b/>
          <w:i/>
        </w:rPr>
      </w:pPr>
      <w:r>
        <w:rPr>
          <w:rFonts w:ascii="Arial Rounded MT Bold" w:hAnsi="Arial Rounded MT Bold" w:cs="Tahoma"/>
          <w:b/>
          <w:u w:val="single"/>
        </w:rPr>
        <w:t>Zulu v Avondale Housing Project Limited</w:t>
      </w:r>
      <w:r w:rsidR="00121920" w:rsidRPr="00283B08">
        <w:rPr>
          <w:rFonts w:ascii="Arial Rounded MT Bold" w:hAnsi="Arial Rounded MT Bold" w:cs="Tahoma"/>
          <w:b/>
        </w:rPr>
        <w:t xml:space="preserve"> [198</w:t>
      </w:r>
      <w:r>
        <w:rPr>
          <w:rFonts w:ascii="Arial Rounded MT Bold" w:hAnsi="Arial Rounded MT Bold" w:cs="Tahoma"/>
          <w:b/>
        </w:rPr>
        <w:t>2</w:t>
      </w:r>
      <w:r w:rsidR="00121920" w:rsidRPr="00283B08">
        <w:rPr>
          <w:rFonts w:ascii="Arial Rounded MT Bold" w:hAnsi="Arial Rounded MT Bold" w:cs="Tahoma"/>
          <w:b/>
        </w:rPr>
        <w:t>]</w:t>
      </w:r>
      <w:r w:rsidR="009A0950">
        <w:rPr>
          <w:rFonts w:ascii="Arial Rounded MT Bold" w:hAnsi="Arial Rounded MT Bold" w:cs="Tahoma"/>
          <w:b/>
        </w:rPr>
        <w:t xml:space="preserve">  Z.R.</w:t>
      </w:r>
      <w:r w:rsidR="00283B08" w:rsidRPr="00283B08">
        <w:rPr>
          <w:rFonts w:ascii="Arial Rounded MT Bold" w:hAnsi="Arial Rounded MT Bold" w:cs="Tahoma"/>
          <w:b/>
        </w:rPr>
        <w:t xml:space="preserve"> </w:t>
      </w:r>
      <w:r>
        <w:rPr>
          <w:rFonts w:ascii="Arial Rounded MT Bold" w:hAnsi="Arial Rounded MT Bold" w:cs="Tahoma"/>
          <w:b/>
        </w:rPr>
        <w:t>182</w:t>
      </w:r>
      <w:r w:rsidR="00283B08">
        <w:rPr>
          <w:rFonts w:ascii="Arial Rounded MT Bold" w:hAnsi="Arial Rounded MT Bold" w:cs="Tahoma"/>
          <w:b/>
        </w:rPr>
        <w:t>.</w:t>
      </w:r>
    </w:p>
    <w:p w:rsidR="00283B08" w:rsidRPr="00283B08" w:rsidRDefault="00B6406B" w:rsidP="0071236C">
      <w:pPr>
        <w:numPr>
          <w:ilvl w:val="0"/>
          <w:numId w:val="1"/>
        </w:numPr>
        <w:ind w:left="1077"/>
        <w:rPr>
          <w:rFonts w:ascii="Arial Rounded MT Bold" w:hAnsi="Arial Rounded MT Bold" w:cs="Tahoma"/>
          <w:b/>
          <w:i/>
        </w:rPr>
      </w:pPr>
      <w:r>
        <w:rPr>
          <w:rFonts w:ascii="Arial Rounded MT Bold" w:hAnsi="Arial Rounded MT Bold" w:cs="Tahoma"/>
          <w:b/>
          <w:u w:val="single"/>
        </w:rPr>
        <w:t>Vestey v I.R.C.</w:t>
      </w:r>
      <w:r w:rsidR="00283B08">
        <w:rPr>
          <w:rFonts w:ascii="Arial Rounded MT Bold" w:hAnsi="Arial Rounded MT Bold" w:cs="Tahoma"/>
          <w:b/>
        </w:rPr>
        <w:t xml:space="preserve"> [19</w:t>
      </w:r>
      <w:r w:rsidR="0071236C">
        <w:rPr>
          <w:rFonts w:ascii="Arial Rounded MT Bold" w:hAnsi="Arial Rounded MT Bold" w:cs="Tahoma"/>
          <w:b/>
        </w:rPr>
        <w:t>80</w:t>
      </w:r>
      <w:r w:rsidR="00283B08">
        <w:rPr>
          <w:rFonts w:ascii="Arial Rounded MT Bold" w:hAnsi="Arial Rounded MT Bold" w:cs="Tahoma"/>
          <w:b/>
        </w:rPr>
        <w:t xml:space="preserve">] </w:t>
      </w:r>
      <w:r w:rsidR="0071236C">
        <w:rPr>
          <w:rFonts w:ascii="Arial Rounded MT Bold" w:hAnsi="Arial Rounded MT Bold" w:cs="Tahoma"/>
          <w:b/>
        </w:rPr>
        <w:t>STG 18</w:t>
      </w:r>
      <w:r w:rsidR="00283B08">
        <w:rPr>
          <w:rFonts w:ascii="Arial Rounded MT Bold" w:hAnsi="Arial Rounded MT Bold" w:cs="Tahoma"/>
          <w:b/>
        </w:rPr>
        <w:t>.</w:t>
      </w:r>
    </w:p>
    <w:p w:rsidR="00283B08" w:rsidRPr="00293ED4" w:rsidRDefault="0071236C" w:rsidP="0071236C">
      <w:pPr>
        <w:numPr>
          <w:ilvl w:val="0"/>
          <w:numId w:val="1"/>
        </w:numPr>
        <w:ind w:left="1077"/>
        <w:rPr>
          <w:rFonts w:ascii="Arial Rounded MT Bold" w:hAnsi="Arial Rounded MT Bold" w:cs="Tahoma"/>
          <w:b/>
          <w:i/>
        </w:rPr>
      </w:pPr>
      <w:r>
        <w:rPr>
          <w:rFonts w:ascii="Arial Rounded MT Bold" w:hAnsi="Arial Rounded MT Bold" w:cs="Tahoma"/>
          <w:b/>
          <w:u w:val="single"/>
        </w:rPr>
        <w:t>Canada Sugar Refining Company v R</w:t>
      </w:r>
      <w:r w:rsidR="00283B08">
        <w:rPr>
          <w:rFonts w:ascii="Arial Rounded MT Bold" w:hAnsi="Arial Rounded MT Bold" w:cs="Tahoma"/>
          <w:b/>
          <w:u w:val="single"/>
        </w:rPr>
        <w:t xml:space="preserve"> </w:t>
      </w:r>
      <w:r w:rsidR="00293ED4">
        <w:rPr>
          <w:rFonts w:ascii="Arial Rounded MT Bold" w:hAnsi="Arial Rounded MT Bold" w:cs="Tahoma"/>
          <w:b/>
        </w:rPr>
        <w:t>[1</w:t>
      </w:r>
      <w:r>
        <w:rPr>
          <w:rFonts w:ascii="Arial Rounded MT Bold" w:hAnsi="Arial Rounded MT Bold" w:cs="Tahoma"/>
          <w:b/>
        </w:rPr>
        <w:t>898</w:t>
      </w:r>
      <w:r w:rsidR="00293ED4">
        <w:rPr>
          <w:rFonts w:ascii="Arial Rounded MT Bold" w:hAnsi="Arial Rounded MT Bold" w:cs="Tahoma"/>
          <w:b/>
        </w:rPr>
        <w:t xml:space="preserve">] </w:t>
      </w:r>
      <w:r>
        <w:rPr>
          <w:rFonts w:ascii="Arial Rounded MT Bold" w:hAnsi="Arial Rounded MT Bold" w:cs="Tahoma"/>
          <w:b/>
        </w:rPr>
        <w:t>A.C. 735</w:t>
      </w:r>
      <w:r w:rsidR="00293ED4">
        <w:rPr>
          <w:rFonts w:ascii="Arial Rounded MT Bold" w:hAnsi="Arial Rounded MT Bold" w:cs="Tahoma"/>
          <w:b/>
        </w:rPr>
        <w:t>.</w:t>
      </w:r>
    </w:p>
    <w:p w:rsidR="00293ED4" w:rsidRPr="00383962" w:rsidRDefault="00276219" w:rsidP="00276219">
      <w:pPr>
        <w:numPr>
          <w:ilvl w:val="0"/>
          <w:numId w:val="1"/>
        </w:numPr>
        <w:ind w:left="1077"/>
        <w:rPr>
          <w:rFonts w:ascii="Arial Rounded MT Bold" w:hAnsi="Arial Rounded MT Bold" w:cs="Tahoma"/>
          <w:b/>
          <w:i/>
        </w:rPr>
      </w:pPr>
      <w:r>
        <w:rPr>
          <w:rFonts w:ascii="Arial Rounded MT Bold" w:hAnsi="Arial Rounded MT Bold" w:cs="Tahoma"/>
          <w:b/>
          <w:u w:val="single"/>
        </w:rPr>
        <w:t>Lewanika v Attorney General</w:t>
      </w:r>
      <w:r w:rsidR="00383962">
        <w:rPr>
          <w:rFonts w:ascii="Arial Rounded MT Bold" w:hAnsi="Arial Rounded MT Bold" w:cs="Tahoma"/>
          <w:b/>
        </w:rPr>
        <w:t xml:space="preserve"> [199</w:t>
      </w:r>
      <w:r>
        <w:rPr>
          <w:rFonts w:ascii="Arial Rounded MT Bold" w:hAnsi="Arial Rounded MT Bold" w:cs="Tahoma"/>
          <w:b/>
        </w:rPr>
        <w:t>3-1994</w:t>
      </w:r>
      <w:r w:rsidR="00383962">
        <w:rPr>
          <w:rFonts w:ascii="Arial Rounded MT Bold" w:hAnsi="Arial Rounded MT Bold" w:cs="Tahoma"/>
          <w:b/>
        </w:rPr>
        <w:t xml:space="preserve">]  Z.R. </w:t>
      </w:r>
      <w:r>
        <w:rPr>
          <w:rFonts w:ascii="Arial Rounded MT Bold" w:hAnsi="Arial Rounded MT Bold" w:cs="Tahoma"/>
          <w:b/>
        </w:rPr>
        <w:t>164</w:t>
      </w:r>
      <w:r w:rsidR="00383962">
        <w:rPr>
          <w:rFonts w:ascii="Arial Rounded MT Bold" w:hAnsi="Arial Rounded MT Bold" w:cs="Tahoma"/>
          <w:b/>
        </w:rPr>
        <w:t>.</w:t>
      </w:r>
    </w:p>
    <w:p w:rsidR="00383962" w:rsidRPr="00053EE1" w:rsidRDefault="00053EE1" w:rsidP="00053EE1">
      <w:pPr>
        <w:numPr>
          <w:ilvl w:val="0"/>
          <w:numId w:val="1"/>
        </w:numPr>
        <w:ind w:left="1077"/>
        <w:rPr>
          <w:rFonts w:ascii="Arial Rounded MT Bold" w:hAnsi="Arial Rounded MT Bold" w:cs="Tahoma"/>
          <w:b/>
          <w:i/>
        </w:rPr>
      </w:pPr>
      <w:r>
        <w:rPr>
          <w:rFonts w:ascii="Arial Rounded MT Bold" w:hAnsi="Arial Rounded MT Bold" w:cs="Tahoma"/>
          <w:b/>
          <w:u w:val="single"/>
        </w:rPr>
        <w:t>Nzowa v Attorney General</w:t>
      </w:r>
      <w:r>
        <w:rPr>
          <w:rFonts w:ascii="Arial Rounded MT Bold" w:hAnsi="Arial Rounded MT Bold" w:cs="Tahoma"/>
          <w:b/>
        </w:rPr>
        <w:t xml:space="preserve"> [2004</w:t>
      </w:r>
      <w:r w:rsidR="00383962">
        <w:rPr>
          <w:rFonts w:ascii="Arial Rounded MT Bold" w:hAnsi="Arial Rounded MT Bold" w:cs="Tahoma"/>
          <w:b/>
        </w:rPr>
        <w:t xml:space="preserve">] Z.R. </w:t>
      </w:r>
      <w:r>
        <w:rPr>
          <w:rFonts w:ascii="Arial Rounded MT Bold" w:hAnsi="Arial Rounded MT Bold" w:cs="Tahoma"/>
          <w:b/>
        </w:rPr>
        <w:t>15</w:t>
      </w:r>
      <w:r w:rsidR="00383962">
        <w:rPr>
          <w:rFonts w:ascii="Arial Rounded MT Bold" w:hAnsi="Arial Rounded MT Bold" w:cs="Tahoma"/>
          <w:b/>
        </w:rPr>
        <w:t>9.</w:t>
      </w:r>
    </w:p>
    <w:p w:rsidR="00053EE1" w:rsidRPr="000E708B" w:rsidRDefault="00053EE1" w:rsidP="00053EE1">
      <w:pPr>
        <w:numPr>
          <w:ilvl w:val="0"/>
          <w:numId w:val="1"/>
        </w:numPr>
        <w:ind w:left="1077"/>
        <w:rPr>
          <w:rFonts w:ascii="Arial Rounded MT Bold" w:hAnsi="Arial Rounded MT Bold" w:cs="Tahoma"/>
          <w:b/>
          <w:i/>
        </w:rPr>
      </w:pPr>
      <w:r>
        <w:rPr>
          <w:rFonts w:ascii="Arial Rounded MT Bold" w:hAnsi="Arial Rounded MT Bold" w:cs="Tahoma"/>
          <w:b/>
          <w:u w:val="single"/>
        </w:rPr>
        <w:t>State v Petros &amp; Another</w:t>
      </w:r>
      <w:r>
        <w:rPr>
          <w:rFonts w:ascii="Arial Rounded MT Bold" w:hAnsi="Arial Rounded MT Bold" w:cs="Tahoma"/>
          <w:b/>
        </w:rPr>
        <w:t xml:space="preserve"> [1985] L</w:t>
      </w:r>
      <w:r w:rsidR="000E708B">
        <w:rPr>
          <w:rFonts w:ascii="Arial Rounded MT Bold" w:hAnsi="Arial Rounded MT Bold" w:cs="Tahoma"/>
          <w:b/>
        </w:rPr>
        <w:t>.R.C. 699.</w:t>
      </w:r>
    </w:p>
    <w:p w:rsidR="000E708B" w:rsidRPr="000E708B" w:rsidRDefault="000E708B" w:rsidP="00053EE1">
      <w:pPr>
        <w:numPr>
          <w:ilvl w:val="0"/>
          <w:numId w:val="1"/>
        </w:numPr>
        <w:ind w:left="1077"/>
        <w:rPr>
          <w:rFonts w:ascii="Arial Rounded MT Bold" w:hAnsi="Arial Rounded MT Bold" w:cs="Tahoma"/>
          <w:b/>
          <w:i/>
        </w:rPr>
      </w:pPr>
      <w:r>
        <w:rPr>
          <w:rFonts w:ascii="Arial Rounded MT Bold" w:hAnsi="Arial Rounded MT Bold" w:cs="Tahoma"/>
          <w:b/>
          <w:u w:val="single"/>
        </w:rPr>
        <w:t>Rafiu Rabiuv S</w:t>
      </w:r>
      <w:r>
        <w:rPr>
          <w:rFonts w:ascii="Arial Rounded MT Bold" w:hAnsi="Arial Rounded MT Bold" w:cs="Tahoma"/>
          <w:b/>
        </w:rPr>
        <w:t xml:space="preserve"> [1981] 2 NCLR 293.</w:t>
      </w:r>
    </w:p>
    <w:p w:rsidR="000E708B" w:rsidRPr="000E708B" w:rsidRDefault="000E708B" w:rsidP="00053EE1">
      <w:pPr>
        <w:numPr>
          <w:ilvl w:val="0"/>
          <w:numId w:val="1"/>
        </w:numPr>
        <w:ind w:left="1077"/>
        <w:rPr>
          <w:rFonts w:ascii="Arial Rounded MT Bold" w:hAnsi="Arial Rounded MT Bold" w:cs="Tahoma"/>
          <w:b/>
          <w:i/>
        </w:rPr>
      </w:pPr>
      <w:r>
        <w:rPr>
          <w:rFonts w:ascii="Arial Rounded MT Bold" w:hAnsi="Arial Rounded MT Bold" w:cs="Tahoma"/>
          <w:b/>
          <w:u w:val="single"/>
        </w:rPr>
        <w:t xml:space="preserve">Attorney General v Dow </w:t>
      </w:r>
      <w:r>
        <w:rPr>
          <w:rFonts w:ascii="Arial Rounded MT Bold" w:hAnsi="Arial Rounded MT Bold" w:cs="Tahoma"/>
          <w:b/>
        </w:rPr>
        <w:t xml:space="preserve"> [1994] B.C.L.R 1.</w:t>
      </w:r>
    </w:p>
    <w:p w:rsidR="000E708B" w:rsidRDefault="000E708B" w:rsidP="00053EE1">
      <w:pPr>
        <w:numPr>
          <w:ilvl w:val="0"/>
          <w:numId w:val="1"/>
        </w:numPr>
        <w:ind w:left="1077"/>
        <w:rPr>
          <w:rFonts w:ascii="Arial Rounded MT Bold" w:hAnsi="Arial Rounded MT Bold" w:cs="Tahoma"/>
          <w:b/>
          <w:i/>
        </w:rPr>
      </w:pPr>
      <w:r>
        <w:rPr>
          <w:rFonts w:ascii="Arial Rounded MT Bold" w:hAnsi="Arial Rounded MT Bold" w:cs="Tahoma"/>
          <w:b/>
          <w:u w:val="single"/>
        </w:rPr>
        <w:t>South Dakota v North Carolina</w:t>
      </w:r>
      <w:r>
        <w:rPr>
          <w:rFonts w:ascii="Arial Rounded MT Bold" w:hAnsi="Arial Rounded MT Bold" w:cs="Tahoma"/>
          <w:b/>
        </w:rPr>
        <w:t xml:space="preserve"> [1940] 192 USA 268</w:t>
      </w:r>
      <w:r w:rsidR="00AC0ABA">
        <w:rPr>
          <w:rFonts w:ascii="Arial Rounded MT Bold" w:hAnsi="Arial Rounded MT Bold" w:cs="Tahoma"/>
          <w:b/>
        </w:rPr>
        <w:t>:48 ED448 AT 465.</w:t>
      </w:r>
    </w:p>
    <w:p w:rsidR="00383962" w:rsidRDefault="00383962" w:rsidP="00383962">
      <w:pPr>
        <w:ind w:left="1077"/>
        <w:rPr>
          <w:rFonts w:ascii="Arial Rounded MT Bold" w:hAnsi="Arial Rounded MT Bold" w:cs="Tahoma"/>
          <w:b/>
          <w:i/>
        </w:rPr>
      </w:pPr>
    </w:p>
    <w:p w:rsidR="00383962" w:rsidRPr="00383962" w:rsidRDefault="00383962" w:rsidP="00383962">
      <w:pPr>
        <w:rPr>
          <w:rFonts w:asciiTheme="minorBidi" w:hAnsiTheme="minorBidi" w:cstheme="minorBidi"/>
          <w:b/>
          <w:i/>
          <w:sz w:val="32"/>
          <w:szCs w:val="32"/>
        </w:rPr>
      </w:pPr>
      <w:r>
        <w:rPr>
          <w:rFonts w:asciiTheme="minorBidi" w:hAnsiTheme="minorBidi" w:cstheme="minorBidi"/>
          <w:b/>
          <w:i/>
          <w:sz w:val="32"/>
          <w:szCs w:val="32"/>
        </w:rPr>
        <w:t>Legislation referred to:</w:t>
      </w:r>
    </w:p>
    <w:p w:rsidR="00383962" w:rsidRPr="00383962" w:rsidRDefault="00383962" w:rsidP="00AE645D">
      <w:pPr>
        <w:numPr>
          <w:ilvl w:val="0"/>
          <w:numId w:val="3"/>
        </w:numPr>
        <w:rPr>
          <w:rFonts w:ascii="Arial Rounded MT Bold" w:hAnsi="Arial Rounded MT Bold" w:cs="Tahoma"/>
          <w:b/>
          <w:i/>
        </w:rPr>
      </w:pPr>
      <w:r>
        <w:rPr>
          <w:rFonts w:ascii="Arial Rounded MT Bold" w:hAnsi="Arial Rounded MT Bold" w:cs="Tahoma"/>
          <w:b/>
          <w:iCs/>
          <w:u w:val="single"/>
        </w:rPr>
        <w:t xml:space="preserve">The </w:t>
      </w:r>
      <w:r w:rsidR="00AC0ABA">
        <w:rPr>
          <w:rFonts w:ascii="Arial Rounded MT Bold" w:hAnsi="Arial Rounded MT Bold" w:cs="Tahoma"/>
          <w:b/>
          <w:iCs/>
          <w:u w:val="single"/>
        </w:rPr>
        <w:t>Value Added Tax Act</w:t>
      </w:r>
      <w:r>
        <w:rPr>
          <w:rFonts w:ascii="Arial Rounded MT Bold" w:hAnsi="Arial Rounded MT Bold" w:cs="Tahoma"/>
          <w:b/>
          <w:iCs/>
        </w:rPr>
        <w:t xml:space="preserve">, </w:t>
      </w:r>
      <w:r w:rsidR="00AC0ABA">
        <w:rPr>
          <w:rFonts w:ascii="Arial Rounded MT Bold" w:hAnsi="Arial Rounded MT Bold" w:cs="Tahoma"/>
          <w:b/>
          <w:iCs/>
        </w:rPr>
        <w:t>CAP 331 of the Laws of Zambia. Section 15 (2)</w:t>
      </w:r>
      <w:r>
        <w:rPr>
          <w:rFonts w:ascii="Arial Rounded MT Bold" w:hAnsi="Arial Rounded MT Bold" w:cs="Tahoma"/>
          <w:b/>
          <w:iCs/>
        </w:rPr>
        <w:t>,</w:t>
      </w:r>
      <w:r w:rsidR="00AC0ABA">
        <w:rPr>
          <w:rFonts w:ascii="Arial Rounded MT Bold" w:hAnsi="Arial Rounded MT Bold" w:cs="Tahoma"/>
          <w:b/>
          <w:iCs/>
        </w:rPr>
        <w:t xml:space="preserve">  the </w:t>
      </w:r>
      <w:r w:rsidR="008B3684">
        <w:rPr>
          <w:rFonts w:ascii="Arial Rounded MT Bold" w:hAnsi="Arial Rounded MT Bold" w:cs="Tahoma"/>
          <w:b/>
          <w:iCs/>
        </w:rPr>
        <w:t>S</w:t>
      </w:r>
      <w:r w:rsidR="00AC0ABA">
        <w:rPr>
          <w:rFonts w:ascii="Arial Rounded MT Bold" w:hAnsi="Arial Rounded MT Bold" w:cs="Tahoma"/>
          <w:b/>
          <w:iCs/>
        </w:rPr>
        <w:t>econd</w:t>
      </w:r>
      <w:r w:rsidR="00AE645D">
        <w:rPr>
          <w:rFonts w:ascii="Arial Rounded MT Bold" w:hAnsi="Arial Rounded MT Bold" w:cs="Tahoma"/>
          <w:b/>
          <w:iCs/>
        </w:rPr>
        <w:t xml:space="preserve"> Schedule thereto, paragraph 2 (a) (b) &amp; (c).</w:t>
      </w:r>
      <w:r w:rsidR="00AC0ABA">
        <w:rPr>
          <w:rFonts w:ascii="Arial Rounded MT Bold" w:hAnsi="Arial Rounded MT Bold" w:cs="Tahoma"/>
          <w:b/>
          <w:iCs/>
        </w:rPr>
        <w:t xml:space="preserve"> </w:t>
      </w:r>
    </w:p>
    <w:p w:rsidR="00121920" w:rsidRPr="00283B08" w:rsidRDefault="00383962" w:rsidP="00B759FB">
      <w:pPr>
        <w:numPr>
          <w:ilvl w:val="0"/>
          <w:numId w:val="3"/>
        </w:numPr>
        <w:spacing w:line="360" w:lineRule="auto"/>
        <w:rPr>
          <w:rFonts w:ascii="Arial Rounded MT Bold" w:hAnsi="Arial Rounded MT Bold" w:cs="Tahoma"/>
          <w:b/>
          <w:i/>
        </w:rPr>
      </w:pPr>
      <w:r>
        <w:rPr>
          <w:rFonts w:ascii="Arial Rounded MT Bold" w:hAnsi="Arial Rounded MT Bold" w:cs="Tahoma"/>
          <w:b/>
          <w:iCs/>
          <w:u w:val="single"/>
        </w:rPr>
        <w:t xml:space="preserve">The </w:t>
      </w:r>
      <w:r w:rsidR="00B759FB">
        <w:rPr>
          <w:rFonts w:ascii="Arial Rounded MT Bold" w:hAnsi="Arial Rounded MT Bold" w:cs="Tahoma"/>
          <w:b/>
          <w:iCs/>
          <w:u w:val="single"/>
        </w:rPr>
        <w:t>Interpretation and General Provisions Act.</w:t>
      </w:r>
      <w:r w:rsidR="00B759FB">
        <w:rPr>
          <w:rFonts w:ascii="Arial Rounded MT Bold" w:hAnsi="Arial Rounded MT Bold" w:cs="Tahoma"/>
          <w:b/>
          <w:iCs/>
        </w:rPr>
        <w:t>, CAP 2 Section 9.</w:t>
      </w:r>
    </w:p>
    <w:p w:rsidR="00460F1C" w:rsidRPr="00D82BF9" w:rsidRDefault="00460F1C" w:rsidP="0004071E">
      <w:pPr>
        <w:spacing w:line="360" w:lineRule="auto"/>
        <w:ind w:left="1080"/>
        <w:rPr>
          <w:rFonts w:ascii="Arial Rounded MT Bold" w:hAnsi="Arial Rounded MT Bold" w:cs="Tahoma"/>
          <w:b/>
          <w:i/>
          <w:sz w:val="20"/>
          <w:szCs w:val="20"/>
        </w:rPr>
      </w:pPr>
    </w:p>
    <w:p w:rsidR="00F91A79" w:rsidRDefault="00F91A79" w:rsidP="00B759FB">
      <w:pPr>
        <w:pStyle w:val="BodyText2"/>
        <w:ind w:firstLine="720"/>
        <w:rPr>
          <w:rFonts w:ascii="Bookman Old Style" w:hAnsi="Bookman Old Style"/>
        </w:rPr>
      </w:pPr>
      <w:r>
        <w:rPr>
          <w:rFonts w:ascii="Bookman Old Style" w:hAnsi="Bookman Old Style"/>
        </w:rPr>
        <w:t>The delay in delivering this appeal is deeply regretted.  It is due to a heavy workload.  When we heard this appeal, Hon. Mr. Justice S. S. Silomba was part of the Court.  He has since retired.  Therefore,</w:t>
      </w:r>
      <w:r w:rsidR="00B65BD4">
        <w:rPr>
          <w:rFonts w:ascii="Bookman Old Style" w:hAnsi="Bookman Old Style"/>
        </w:rPr>
        <w:t xml:space="preserve"> this Judgment is by the majority.</w:t>
      </w:r>
    </w:p>
    <w:p w:rsidR="00F91A79" w:rsidRDefault="00F91A79" w:rsidP="00B759FB">
      <w:pPr>
        <w:pStyle w:val="BodyText2"/>
        <w:ind w:firstLine="720"/>
        <w:rPr>
          <w:rFonts w:ascii="Bookman Old Style" w:hAnsi="Bookman Old Style"/>
        </w:rPr>
      </w:pPr>
    </w:p>
    <w:p w:rsidR="00B759FB" w:rsidRDefault="00974640" w:rsidP="00B759FB">
      <w:pPr>
        <w:pStyle w:val="BodyText2"/>
        <w:ind w:firstLine="720"/>
        <w:rPr>
          <w:rFonts w:ascii="Bookman Old Style" w:hAnsi="Bookman Old Style"/>
        </w:rPr>
      </w:pPr>
      <w:r>
        <w:rPr>
          <w:rFonts w:ascii="Bookman Old Style" w:hAnsi="Bookman Old Style"/>
        </w:rPr>
        <w:t>Th</w:t>
      </w:r>
      <w:r w:rsidR="00121920">
        <w:rPr>
          <w:rFonts w:ascii="Bookman Old Style" w:hAnsi="Bookman Old Style"/>
        </w:rPr>
        <w:t>is is</w:t>
      </w:r>
      <w:r>
        <w:rPr>
          <w:rFonts w:ascii="Bookman Old Style" w:hAnsi="Bookman Old Style"/>
        </w:rPr>
        <w:t xml:space="preserve"> </w:t>
      </w:r>
      <w:r w:rsidR="00121920">
        <w:rPr>
          <w:rFonts w:ascii="Bookman Old Style" w:hAnsi="Bookman Old Style"/>
        </w:rPr>
        <w:t xml:space="preserve">an appeal against </w:t>
      </w:r>
      <w:r w:rsidR="00B759FB">
        <w:rPr>
          <w:rFonts w:ascii="Bookman Old Style" w:hAnsi="Bookman Old Style"/>
        </w:rPr>
        <w:t>a Judgment</w:t>
      </w:r>
      <w:r>
        <w:rPr>
          <w:rFonts w:ascii="Bookman Old Style" w:hAnsi="Bookman Old Style"/>
        </w:rPr>
        <w:t xml:space="preserve"> </w:t>
      </w:r>
      <w:r w:rsidR="00121920">
        <w:rPr>
          <w:rFonts w:ascii="Bookman Old Style" w:hAnsi="Bookman Old Style"/>
        </w:rPr>
        <w:t>of the High Court</w:t>
      </w:r>
      <w:r w:rsidR="00B759FB">
        <w:rPr>
          <w:rFonts w:ascii="Bookman Old Style" w:hAnsi="Bookman Old Style"/>
        </w:rPr>
        <w:t xml:space="preserve"> of 3</w:t>
      </w:r>
      <w:r w:rsidR="00B759FB" w:rsidRPr="00B759FB">
        <w:rPr>
          <w:rFonts w:ascii="Bookman Old Style" w:hAnsi="Bookman Old Style"/>
          <w:vertAlign w:val="superscript"/>
        </w:rPr>
        <w:t>rd</w:t>
      </w:r>
      <w:r w:rsidR="00B759FB">
        <w:rPr>
          <w:rFonts w:ascii="Bookman Old Style" w:hAnsi="Bookman Old Style"/>
        </w:rPr>
        <w:t xml:space="preserve"> April 2008, sitting as an appellate Court, in an appeal against the </w:t>
      </w:r>
      <w:r w:rsidR="00121920">
        <w:rPr>
          <w:rFonts w:ascii="Bookman Old Style" w:hAnsi="Bookman Old Style"/>
        </w:rPr>
        <w:t xml:space="preserve"> </w:t>
      </w:r>
      <w:r>
        <w:rPr>
          <w:rFonts w:ascii="Bookman Old Style" w:hAnsi="Bookman Old Style"/>
        </w:rPr>
        <w:t>Ruling</w:t>
      </w:r>
      <w:r w:rsidR="00B759FB">
        <w:rPr>
          <w:rFonts w:ascii="Bookman Old Style" w:hAnsi="Bookman Old Style"/>
        </w:rPr>
        <w:t xml:space="preserve"> of the Revenue Tribunal, on assessment of Tax by the Zambia Revenue Authority, the Respondent.  By that Judgment the High Court refused to set aside the Tax assessment of K581,407,886 and referred the matter back to the Revenue Tribunal, for re-hearing denovo.  In doing so, the High Court ordered the Tribunal to examine the Registers at Mpulungu Port and</w:t>
      </w:r>
      <w:r w:rsidR="007260E4">
        <w:rPr>
          <w:rFonts w:ascii="Bookman Old Style" w:hAnsi="Bookman Old Style"/>
        </w:rPr>
        <w:t xml:space="preserve">/or Kasumbalesa Port or any other Register or </w:t>
      </w:r>
      <w:r w:rsidR="00E943EB">
        <w:rPr>
          <w:rFonts w:ascii="Bookman Old Style" w:hAnsi="Bookman Old Style"/>
        </w:rPr>
        <w:t>documents, relevant to the transit cargo in question, to determine whether or not the Form CE20, in respect of the transist cargo in question was acquitted.</w:t>
      </w:r>
    </w:p>
    <w:p w:rsidR="00E943EB" w:rsidRDefault="00E943EB" w:rsidP="00B759FB">
      <w:pPr>
        <w:pStyle w:val="BodyText2"/>
        <w:ind w:firstLine="720"/>
        <w:rPr>
          <w:rFonts w:ascii="Bookman Old Style" w:hAnsi="Bookman Old Style"/>
        </w:rPr>
      </w:pPr>
    </w:p>
    <w:p w:rsidR="006935C5" w:rsidRDefault="00E943EB" w:rsidP="001E3AC2">
      <w:pPr>
        <w:pStyle w:val="BodyText2"/>
        <w:ind w:firstLine="720"/>
        <w:rPr>
          <w:rFonts w:ascii="Bookman Old Style" w:hAnsi="Bookman Old Style"/>
        </w:rPr>
      </w:pPr>
      <w:r>
        <w:rPr>
          <w:rFonts w:ascii="Bookman Old Style" w:hAnsi="Bookman Old Style"/>
        </w:rPr>
        <w:t>The Appellant’s case is that it carries on business in import and export of merchandise.  It also transports goods within Zambia and to destinations outside Zambia.  That Congolese merchants bought various items, mainly fish, from Tanzania, and transported t</w:t>
      </w:r>
      <w:r w:rsidR="001F7B3F">
        <w:rPr>
          <w:rFonts w:ascii="Bookman Old Style" w:hAnsi="Bookman Old Style"/>
        </w:rPr>
        <w:t>hem</w:t>
      </w:r>
      <w:r>
        <w:rPr>
          <w:rFonts w:ascii="Bookman Old Style" w:hAnsi="Bookman Old Style"/>
        </w:rPr>
        <w:t xml:space="preserve"> by ship to Mpulungu.  The merchants then contracted the Appellant to transport the consignment by road, from Mpulungu to Kasumbalesa Border Post, onward movement to Congo.  The </w:t>
      </w:r>
      <w:r w:rsidR="006935C5">
        <w:rPr>
          <w:rFonts w:ascii="Bookman Old Style" w:hAnsi="Bookman Old Style"/>
        </w:rPr>
        <w:t>goods were transiting through Zambia.</w:t>
      </w:r>
      <w:r w:rsidR="00F803D1">
        <w:rPr>
          <w:rFonts w:ascii="Bookman Old Style" w:hAnsi="Bookman Old Style"/>
        </w:rPr>
        <w:t xml:space="preserve">   </w:t>
      </w:r>
      <w:r w:rsidR="006935C5">
        <w:rPr>
          <w:rFonts w:ascii="Bookman Old Style" w:hAnsi="Bookman Old Style"/>
        </w:rPr>
        <w:t xml:space="preserve">That in clearing the cargo, the owners of the cargo engaged clearing agents, who processed the </w:t>
      </w:r>
      <w:r w:rsidR="006935C5">
        <w:rPr>
          <w:rFonts w:ascii="Bookman Old Style" w:hAnsi="Bookman Old Style"/>
        </w:rPr>
        <w:lastRenderedPageBreak/>
        <w:t xml:space="preserve">necessary documents with the Respondent, at both Mpulungu and Kasumbalesa Borders.  </w:t>
      </w:r>
      <w:r w:rsidR="00E91987">
        <w:rPr>
          <w:rFonts w:ascii="Bookman Old Style" w:hAnsi="Bookman Old Style"/>
        </w:rPr>
        <w:t>C</w:t>
      </w:r>
      <w:r w:rsidR="006935C5">
        <w:rPr>
          <w:rFonts w:ascii="Bookman Old Style" w:hAnsi="Bookman Old Style"/>
        </w:rPr>
        <w:t>op</w:t>
      </w:r>
      <w:r w:rsidR="00E91987">
        <w:rPr>
          <w:rFonts w:ascii="Bookman Old Style" w:hAnsi="Bookman Old Style"/>
        </w:rPr>
        <w:t>ies</w:t>
      </w:r>
      <w:r w:rsidR="006935C5">
        <w:rPr>
          <w:rFonts w:ascii="Bookman Old Style" w:hAnsi="Bookman Old Style"/>
        </w:rPr>
        <w:t xml:space="preserve"> of the documents w</w:t>
      </w:r>
      <w:r w:rsidR="00E91987">
        <w:rPr>
          <w:rFonts w:ascii="Bookman Old Style" w:hAnsi="Bookman Old Style"/>
        </w:rPr>
        <w:t>ere</w:t>
      </w:r>
      <w:r w:rsidR="006935C5">
        <w:rPr>
          <w:rFonts w:ascii="Bookman Old Style" w:hAnsi="Bookman Old Style"/>
        </w:rPr>
        <w:t xml:space="preserve"> given by the Respondent to the Appellant’s Driver, for signing, at Kasumbalesa, when the goods exited.  These documents </w:t>
      </w:r>
      <w:r w:rsidR="00865501">
        <w:rPr>
          <w:rFonts w:ascii="Bookman Old Style" w:hAnsi="Bookman Old Style"/>
        </w:rPr>
        <w:t xml:space="preserve">are called Customs Acquittal Form CE20.  The originals of the Customs Acquittal documents were handed over to the clearing agents of the Congolese merchants.  The agents surrendered these to the Respondent at Mpulungu Port.  The Appellant also kept copies of the Acquittal documents.  The assessment of K581,407,886 the subject of the appeal, was on the basis that the Appellant had failed to produce the acquittal documents, to show that the goods had merely transited through Zambia to a foreign country.  That the Appellant’s inability to produce the Customs Acquittal documents led to the inference by the Respondent that the goods had not exited Zambia; but had been consumed locally, thereby making </w:t>
      </w:r>
      <w:r w:rsidR="006A430C">
        <w:rPr>
          <w:rFonts w:ascii="Bookman Old Style" w:hAnsi="Bookman Old Style"/>
        </w:rPr>
        <w:t xml:space="preserve">the transportation of those goods by the Appellant, as a taxable service.  The reason the Appellant failed to produce the custom acquittal documents, Form CE20, to show that the transit cargo transported exited at Kasumbalesa and actually exported, was because the Respondent lost or misplaced the same documents.  That was after the Respondent collected the customs acquittal form from the Appellant’s premises, together with other documents, for inspection.    </w:t>
      </w:r>
    </w:p>
    <w:p w:rsidR="006A430C" w:rsidRDefault="006A430C" w:rsidP="00B759FB">
      <w:pPr>
        <w:pStyle w:val="BodyText2"/>
        <w:ind w:firstLine="720"/>
        <w:rPr>
          <w:rFonts w:ascii="Bookman Old Style" w:hAnsi="Bookman Old Style"/>
        </w:rPr>
      </w:pPr>
    </w:p>
    <w:p w:rsidR="00827048" w:rsidRDefault="006A430C" w:rsidP="00E91987">
      <w:pPr>
        <w:pStyle w:val="BodyText2"/>
        <w:ind w:firstLine="720"/>
        <w:rPr>
          <w:rFonts w:ascii="Bookman Old Style" w:hAnsi="Bookman Old Style"/>
        </w:rPr>
      </w:pPr>
      <w:r>
        <w:rPr>
          <w:rFonts w:ascii="Bookman Old Style" w:hAnsi="Bookman Old Style"/>
        </w:rPr>
        <w:t xml:space="preserve">The Respondent’s case </w:t>
      </w:r>
      <w:r w:rsidR="00E91987">
        <w:rPr>
          <w:rFonts w:ascii="Bookman Old Style" w:hAnsi="Bookman Old Style"/>
        </w:rPr>
        <w:t>i</w:t>
      </w:r>
      <w:r>
        <w:rPr>
          <w:rFonts w:ascii="Bookman Old Style" w:hAnsi="Bookman Old Style"/>
        </w:rPr>
        <w:t xml:space="preserve">s that the transit cargo was not exported.  It did not leave Zambia for Congo.  That the cargo was disposed of in Zambia.  And, therefore, tax on it ought to be collected, from the Appellant.  Ordinarily, this particular service is </w:t>
      </w:r>
      <w:r>
        <w:rPr>
          <w:rFonts w:ascii="Bookman Old Style" w:hAnsi="Bookman Old Style"/>
        </w:rPr>
        <w:lastRenderedPageBreak/>
        <w:t>zero rated – i.e. it is not taxable, under Section 2 (a) of the Second Schedule to the VAT Act.</w:t>
      </w:r>
      <w:r w:rsidR="00827048">
        <w:rPr>
          <w:rFonts w:ascii="Bookman Old Style" w:hAnsi="Bookman Old Style"/>
        </w:rPr>
        <w:t xml:space="preserve">  There was evidence that if the cargo exited at Mokambo Border, details of the customs acquittal form CE20, was entered into at least </w:t>
      </w:r>
      <w:r w:rsidR="00E91987">
        <w:rPr>
          <w:rFonts w:ascii="Bookman Old Style" w:hAnsi="Bookman Old Style"/>
        </w:rPr>
        <w:t>three</w:t>
      </w:r>
      <w:r w:rsidR="00827048">
        <w:rPr>
          <w:rFonts w:ascii="Bookman Old Style" w:hAnsi="Bookman Old Style"/>
        </w:rPr>
        <w:t xml:space="preserve"> (</w:t>
      </w:r>
      <w:r w:rsidR="00E91987">
        <w:rPr>
          <w:rFonts w:ascii="Bookman Old Style" w:hAnsi="Bookman Old Style"/>
        </w:rPr>
        <w:t>3</w:t>
      </w:r>
      <w:r w:rsidR="00827048">
        <w:rPr>
          <w:rFonts w:ascii="Bookman Old Style" w:hAnsi="Bookman Old Style"/>
        </w:rPr>
        <w:t>) registers.  These are the transporter’s register, the clearing agent’s register and the Respondent’s register at the port of entry and exit.  The issue before the Tribunal and the High Court, was whether the sum of K581,407,886 assessed by the Respondent is due and payable, on account of the fact that the Appellant failed to provide documentation to support its position that the goods which are the subject of the assessment, were transit goods.</w:t>
      </w:r>
    </w:p>
    <w:p w:rsidR="00827048" w:rsidRDefault="00827048" w:rsidP="00B759FB">
      <w:pPr>
        <w:pStyle w:val="BodyText2"/>
        <w:ind w:firstLine="720"/>
        <w:rPr>
          <w:rFonts w:ascii="Bookman Old Style" w:hAnsi="Bookman Old Style"/>
        </w:rPr>
      </w:pPr>
    </w:p>
    <w:p w:rsidR="006A430C" w:rsidRDefault="00827048" w:rsidP="00B759FB">
      <w:pPr>
        <w:pStyle w:val="BodyText2"/>
        <w:ind w:firstLine="720"/>
        <w:rPr>
          <w:rFonts w:ascii="Bookman Old Style" w:hAnsi="Bookman Old Style"/>
        </w:rPr>
      </w:pPr>
      <w:r>
        <w:rPr>
          <w:rFonts w:ascii="Bookman Old Style" w:hAnsi="Bookman Old Style"/>
        </w:rPr>
        <w:t>By a Ruling dated 15</w:t>
      </w:r>
      <w:r w:rsidRPr="00827048">
        <w:rPr>
          <w:rFonts w:ascii="Bookman Old Style" w:hAnsi="Bookman Old Style"/>
          <w:vertAlign w:val="superscript"/>
        </w:rPr>
        <w:t>th</w:t>
      </w:r>
      <w:r>
        <w:rPr>
          <w:rFonts w:ascii="Bookman Old Style" w:hAnsi="Bookman Old Style"/>
        </w:rPr>
        <w:t xml:space="preserve"> November 2006, the Revenue Tribunal dismissed the Appellant’s appeal.  In doing so, it said:</w:t>
      </w:r>
      <w:r w:rsidR="00152DF1">
        <w:rPr>
          <w:rFonts w:ascii="Bookman Old Style" w:hAnsi="Bookman Old Style"/>
        </w:rPr>
        <w:t>-</w:t>
      </w:r>
      <w:r w:rsidR="006A430C">
        <w:rPr>
          <w:rFonts w:ascii="Bookman Old Style" w:hAnsi="Bookman Old Style"/>
        </w:rPr>
        <w:t xml:space="preserve"> </w:t>
      </w:r>
    </w:p>
    <w:p w:rsidR="00152DF1" w:rsidRDefault="00152DF1" w:rsidP="00D50392">
      <w:pPr>
        <w:ind w:left="720" w:right="720"/>
        <w:jc w:val="both"/>
        <w:rPr>
          <w:rFonts w:ascii="Arial Rounded MT Bold" w:hAnsi="Arial Rounded MT Bold" w:cs="Tahoma"/>
          <w:b/>
          <w:lang w:val="en-GB"/>
        </w:rPr>
      </w:pPr>
      <w:r>
        <w:rPr>
          <w:rFonts w:ascii="Arial Rounded MT Bold" w:hAnsi="Arial Rounded MT Bold" w:cs="Tahoma"/>
          <w:b/>
          <w:lang w:val="en-GB"/>
        </w:rPr>
        <w:t>“On a preponderance of probabilities, we are not persuaded by the Appellant’s assertion that the acquittals were lost while in the Respondent’s custody.  We find it strange that the Appellant is now claiming that the Respondent lost these documents evidencing the acquittal.  If the Respondent had them all along why did they not show them to the Respondent as they did with</w:t>
      </w:r>
      <w:r w:rsidR="007930E8">
        <w:rPr>
          <w:rFonts w:ascii="Arial Rounded MT Bold" w:hAnsi="Arial Rounded MT Bold" w:cs="Tahoma"/>
          <w:b/>
          <w:lang w:val="en-GB"/>
        </w:rPr>
        <w:t xml:space="preserve"> other documents?</w:t>
      </w:r>
    </w:p>
    <w:p w:rsidR="007930E8" w:rsidRDefault="007930E8" w:rsidP="00D50392">
      <w:pPr>
        <w:ind w:left="720" w:right="720"/>
        <w:jc w:val="both"/>
        <w:rPr>
          <w:rFonts w:ascii="Arial Rounded MT Bold" w:hAnsi="Arial Rounded MT Bold" w:cs="Tahoma"/>
          <w:b/>
          <w:lang w:val="en-GB"/>
        </w:rPr>
      </w:pPr>
    </w:p>
    <w:p w:rsidR="007930E8" w:rsidRDefault="007930E8" w:rsidP="00D50392">
      <w:pPr>
        <w:ind w:left="720" w:right="720"/>
        <w:jc w:val="both"/>
        <w:rPr>
          <w:rFonts w:ascii="Arial Rounded MT Bold" w:hAnsi="Arial Rounded MT Bold" w:cs="Tahoma"/>
          <w:b/>
          <w:lang w:val="en-GB"/>
        </w:rPr>
      </w:pPr>
      <w:r>
        <w:rPr>
          <w:rFonts w:ascii="Arial Rounded MT Bold" w:hAnsi="Arial Rounded MT Bold" w:cs="Tahoma"/>
          <w:b/>
          <w:lang w:val="en-GB"/>
        </w:rPr>
        <w:t>We find it odd that out of all these copies, the Appellant could fail to keep at least one record of this very important document, knowing very well that failure to keep such proper record would result into a huge tax liability.  In the circumstances, we have no difficulty in holding that the Appellant has failed to discharge its burden, and the assessment issued by the Respondent should be upheld.”</w:t>
      </w:r>
    </w:p>
    <w:p w:rsidR="00D50392" w:rsidRDefault="00D50392" w:rsidP="008929C7">
      <w:pPr>
        <w:spacing w:line="360" w:lineRule="auto"/>
        <w:jc w:val="both"/>
        <w:rPr>
          <w:rFonts w:ascii="Bookman Old Style" w:hAnsi="Bookman Old Style" w:cs="Tahoma"/>
          <w:bCs/>
          <w:sz w:val="28"/>
          <w:szCs w:val="28"/>
          <w:lang w:val="en-GB"/>
        </w:rPr>
      </w:pPr>
    </w:p>
    <w:p w:rsidR="008929C7" w:rsidRDefault="00D50392" w:rsidP="00D50392">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There are three (3) grounds of appeal.  These read as follows:-</w:t>
      </w:r>
    </w:p>
    <w:p w:rsidR="008929C7" w:rsidRDefault="008929C7" w:rsidP="00D50392">
      <w:pPr>
        <w:pStyle w:val="ListParagraph"/>
        <w:numPr>
          <w:ilvl w:val="0"/>
          <w:numId w:val="8"/>
        </w:numPr>
        <w:ind w:right="720"/>
        <w:jc w:val="both"/>
        <w:rPr>
          <w:rFonts w:ascii="Arial Rounded MT Bold" w:hAnsi="Arial Rounded MT Bold" w:cs="Tahoma"/>
          <w:b/>
          <w:lang w:val="en-GB"/>
        </w:rPr>
      </w:pPr>
      <w:r>
        <w:rPr>
          <w:rFonts w:ascii="Arial Rounded MT Bold" w:hAnsi="Arial Rounded MT Bold" w:cs="Tahoma"/>
          <w:b/>
          <w:lang w:val="en-GB"/>
        </w:rPr>
        <w:t>The learned trial Judge erred in law and fact by not holding that the Appellant</w:t>
      </w:r>
      <w:r w:rsidR="00E91987">
        <w:rPr>
          <w:rFonts w:ascii="Arial Rounded MT Bold" w:hAnsi="Arial Rounded MT Bold" w:cs="Tahoma"/>
          <w:b/>
          <w:lang w:val="en-GB"/>
        </w:rPr>
        <w:t>,</w:t>
      </w:r>
      <w:r w:rsidR="003A368C">
        <w:rPr>
          <w:rFonts w:ascii="Arial Rounded MT Bold" w:hAnsi="Arial Rounded MT Bold" w:cs="Tahoma"/>
          <w:b/>
          <w:lang w:val="en-GB"/>
        </w:rPr>
        <w:t xml:space="preserve"> as tax payer</w:t>
      </w:r>
      <w:r w:rsidR="00E91987">
        <w:rPr>
          <w:rFonts w:ascii="Arial Rounded MT Bold" w:hAnsi="Arial Rounded MT Bold" w:cs="Tahoma"/>
          <w:b/>
          <w:lang w:val="en-GB"/>
        </w:rPr>
        <w:t>,</w:t>
      </w:r>
      <w:r w:rsidR="003A368C">
        <w:rPr>
          <w:rFonts w:ascii="Arial Rounded MT Bold" w:hAnsi="Arial Rounded MT Bold" w:cs="Tahoma"/>
          <w:b/>
          <w:lang w:val="en-GB"/>
        </w:rPr>
        <w:t xml:space="preserve"> had discharged its burden of proof required to discharge an assessment issued on it as a tax payer.</w:t>
      </w:r>
    </w:p>
    <w:p w:rsidR="00E91987" w:rsidRDefault="00E91987" w:rsidP="00E91987">
      <w:pPr>
        <w:pStyle w:val="ListParagraph"/>
        <w:ind w:left="1440" w:right="720"/>
        <w:jc w:val="both"/>
        <w:rPr>
          <w:rFonts w:ascii="Arial Rounded MT Bold" w:hAnsi="Arial Rounded MT Bold" w:cs="Tahoma"/>
          <w:b/>
          <w:lang w:val="en-GB"/>
        </w:rPr>
      </w:pPr>
    </w:p>
    <w:p w:rsidR="003A368C" w:rsidRDefault="003A368C" w:rsidP="00D50392">
      <w:pPr>
        <w:pStyle w:val="ListParagraph"/>
        <w:numPr>
          <w:ilvl w:val="0"/>
          <w:numId w:val="8"/>
        </w:numPr>
        <w:ind w:right="720"/>
        <w:jc w:val="both"/>
        <w:rPr>
          <w:rFonts w:ascii="Arial Rounded MT Bold" w:hAnsi="Arial Rounded MT Bold" w:cs="Tahoma"/>
          <w:b/>
          <w:lang w:val="en-GB"/>
        </w:rPr>
      </w:pPr>
      <w:r>
        <w:rPr>
          <w:rFonts w:ascii="Arial Rounded MT Bold" w:hAnsi="Arial Rounded MT Bold" w:cs="Tahoma"/>
          <w:b/>
          <w:lang w:val="en-GB"/>
        </w:rPr>
        <w:t>Having found that the testimony of the Appellant’s witnesses was more credible than that of the Respondent</w:t>
      </w:r>
      <w:r w:rsidR="00E91987">
        <w:rPr>
          <w:rFonts w:ascii="Arial Rounded MT Bold" w:hAnsi="Arial Rounded MT Bold" w:cs="Tahoma"/>
          <w:b/>
          <w:lang w:val="en-GB"/>
        </w:rPr>
        <w:t>,</w:t>
      </w:r>
      <w:r>
        <w:rPr>
          <w:rFonts w:ascii="Arial Rounded MT Bold" w:hAnsi="Arial Rounded MT Bold" w:cs="Tahoma"/>
          <w:b/>
          <w:lang w:val="en-GB"/>
        </w:rPr>
        <w:t xml:space="preserve"> the learned </w:t>
      </w:r>
      <w:r>
        <w:rPr>
          <w:rFonts w:ascii="Arial Rounded MT Bold" w:hAnsi="Arial Rounded MT Bold" w:cs="Tahoma"/>
          <w:b/>
          <w:lang w:val="en-GB"/>
        </w:rPr>
        <w:lastRenderedPageBreak/>
        <w:t>trial Judge</w:t>
      </w:r>
      <w:r w:rsidR="00D50392">
        <w:rPr>
          <w:rFonts w:ascii="Arial Rounded MT Bold" w:hAnsi="Arial Rounded MT Bold" w:cs="Tahoma"/>
          <w:b/>
          <w:lang w:val="en-GB"/>
        </w:rPr>
        <w:t xml:space="preserve"> erred in law and fact by not holding that the Appellant had not discharged its burden of proof and instead ordered a rehearing for further evidence to be adduced.</w:t>
      </w:r>
    </w:p>
    <w:p w:rsidR="00E91987" w:rsidRPr="00E91987" w:rsidRDefault="00E91987" w:rsidP="00E91987">
      <w:pPr>
        <w:pStyle w:val="ListParagraph"/>
        <w:rPr>
          <w:rFonts w:ascii="Arial Rounded MT Bold" w:hAnsi="Arial Rounded MT Bold" w:cs="Tahoma"/>
          <w:b/>
          <w:lang w:val="en-GB"/>
        </w:rPr>
      </w:pPr>
    </w:p>
    <w:p w:rsidR="00D50392" w:rsidRDefault="00D50392" w:rsidP="00D50392">
      <w:pPr>
        <w:pStyle w:val="ListParagraph"/>
        <w:numPr>
          <w:ilvl w:val="0"/>
          <w:numId w:val="8"/>
        </w:numPr>
        <w:ind w:right="720"/>
        <w:jc w:val="both"/>
        <w:rPr>
          <w:rFonts w:ascii="Arial Rounded MT Bold" w:hAnsi="Arial Rounded MT Bold" w:cs="Tahoma"/>
          <w:b/>
          <w:lang w:val="en-GB"/>
        </w:rPr>
      </w:pPr>
      <w:r>
        <w:rPr>
          <w:rFonts w:ascii="Arial Rounded MT Bold" w:hAnsi="Arial Rounded MT Bold" w:cs="Tahoma"/>
          <w:b/>
          <w:lang w:val="en-GB"/>
        </w:rPr>
        <w:t>The learned trial Judge erred in law and fact in not considering the provisions of Section 15 (2) of the Value Added Tax Act, the second Schedule of the Act and Rule 18 (1) of Gazette Notice No. 87 of 1996 in the context of the evidence that was before the Court.</w:t>
      </w:r>
    </w:p>
    <w:p w:rsidR="00DB1C8C" w:rsidRDefault="00DB1C8C" w:rsidP="00616129">
      <w:pPr>
        <w:spacing w:line="360" w:lineRule="auto"/>
        <w:jc w:val="both"/>
        <w:rPr>
          <w:rFonts w:ascii="Bookman Old Style" w:hAnsi="Bookman Old Style" w:cs="Tahoma"/>
          <w:bCs/>
          <w:sz w:val="28"/>
          <w:szCs w:val="28"/>
          <w:lang w:val="en-GB"/>
        </w:rPr>
      </w:pPr>
    </w:p>
    <w:p w:rsidR="00616129" w:rsidRDefault="00616129" w:rsidP="00616129">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On behalf of the Appellant, Mr. Mundashi fused 1</w:t>
      </w:r>
      <w:r w:rsidRPr="00616129">
        <w:rPr>
          <w:rFonts w:ascii="Bookman Old Style" w:hAnsi="Bookman Old Style" w:cs="Tahoma"/>
          <w:bCs/>
          <w:sz w:val="28"/>
          <w:szCs w:val="28"/>
          <w:vertAlign w:val="superscript"/>
          <w:lang w:val="en-GB"/>
        </w:rPr>
        <w:t>st</w:t>
      </w:r>
      <w:r>
        <w:rPr>
          <w:rFonts w:ascii="Bookman Old Style" w:hAnsi="Bookman Old Style" w:cs="Tahoma"/>
          <w:bCs/>
          <w:sz w:val="28"/>
          <w:szCs w:val="28"/>
          <w:lang w:val="en-GB"/>
        </w:rPr>
        <w:t xml:space="preserve"> ground with the second one, to form ground one.  In effect,</w:t>
      </w:r>
      <w:r w:rsidR="003D05F6">
        <w:rPr>
          <w:rFonts w:ascii="Bookman Old Style" w:hAnsi="Bookman Old Style" w:cs="Tahoma"/>
          <w:bCs/>
          <w:sz w:val="28"/>
          <w:szCs w:val="28"/>
          <w:lang w:val="en-GB"/>
        </w:rPr>
        <w:t xml:space="preserve"> what was initially ground three (3) is now ground 2.  He points out that having evaluated the evidence, the learned Judge in the Court below made the following findings:-</w:t>
      </w:r>
    </w:p>
    <w:p w:rsidR="00DE5190" w:rsidRDefault="00DE5190" w:rsidP="00CD252A">
      <w:pPr>
        <w:ind w:left="720" w:right="720"/>
        <w:jc w:val="both"/>
        <w:rPr>
          <w:rFonts w:ascii="Arial Rounded MT Bold" w:hAnsi="Arial Rounded MT Bold" w:cs="Tahoma"/>
          <w:b/>
          <w:lang w:val="en-GB"/>
        </w:rPr>
      </w:pPr>
      <w:r>
        <w:rPr>
          <w:rFonts w:ascii="Arial Rounded MT Bold" w:hAnsi="Arial Rounded MT Bold" w:cs="Tahoma"/>
          <w:b/>
          <w:lang w:val="en-GB"/>
        </w:rPr>
        <w:t>“After careful consideration of the abo</w:t>
      </w:r>
      <w:r w:rsidRPr="003D05F6">
        <w:rPr>
          <w:rFonts w:ascii="Arial Rounded MT Bold" w:hAnsi="Arial Rounded MT Bold" w:cs="Tahoma"/>
          <w:b/>
          <w:lang w:val="en-GB"/>
        </w:rPr>
        <w:t>v</w:t>
      </w:r>
      <w:r>
        <w:rPr>
          <w:rFonts w:ascii="Arial Rounded MT Bold" w:hAnsi="Arial Rounded MT Bold" w:cs="Tahoma"/>
          <w:b/>
          <w:lang w:val="en-GB"/>
        </w:rPr>
        <w:t>e, I make the following observation.   Firstly, the ev</w:t>
      </w:r>
      <w:r w:rsidRPr="003D05F6">
        <w:rPr>
          <w:rFonts w:ascii="Arial Rounded MT Bold" w:hAnsi="Arial Rounded MT Bold" w:cs="Tahoma"/>
          <w:b/>
          <w:lang w:val="en-GB"/>
        </w:rPr>
        <w:t>idence</w:t>
      </w:r>
      <w:r>
        <w:rPr>
          <w:rFonts w:ascii="Arial Rounded MT Bold" w:hAnsi="Arial Rounded MT Bold" w:cs="Tahoma"/>
          <w:b/>
          <w:lang w:val="en-GB"/>
        </w:rPr>
        <w:t xml:space="preserve"> from the record of appeal clearly demonstrates that the Respondents removed a huge amount of documents from the Appellant’s premises....   The evidence also reveals that the Respondent did not return the documents in the order they were collected....</w:t>
      </w:r>
    </w:p>
    <w:p w:rsidR="00DE5190" w:rsidRDefault="00DE5190" w:rsidP="00DE5190">
      <w:pPr>
        <w:ind w:left="720" w:right="720"/>
        <w:jc w:val="both"/>
        <w:rPr>
          <w:rFonts w:ascii="Arial Rounded MT Bold" w:hAnsi="Arial Rounded MT Bold" w:cs="Tahoma"/>
          <w:b/>
          <w:lang w:val="en-GB"/>
        </w:rPr>
      </w:pPr>
    </w:p>
    <w:p w:rsidR="00DE5190" w:rsidRDefault="00DE5190" w:rsidP="00DE5190">
      <w:pPr>
        <w:ind w:left="720" w:right="720"/>
        <w:jc w:val="both"/>
        <w:rPr>
          <w:rFonts w:ascii="Arial Rounded MT Bold" w:hAnsi="Arial Rounded MT Bold" w:cs="Tahoma"/>
          <w:b/>
          <w:lang w:val="en-GB"/>
        </w:rPr>
      </w:pPr>
      <w:r>
        <w:rPr>
          <w:rFonts w:ascii="Arial Rounded MT Bold" w:hAnsi="Arial Rounded MT Bold" w:cs="Tahoma"/>
          <w:b/>
          <w:lang w:val="en-GB"/>
        </w:rPr>
        <w:t>The above raises a real possibility that the Respondent could have possibly lost, or misplaced the disputed documents.....</w:t>
      </w:r>
    </w:p>
    <w:p w:rsidR="00DE5190" w:rsidRDefault="00DE5190" w:rsidP="00DE5190">
      <w:pPr>
        <w:ind w:left="720" w:right="720"/>
        <w:jc w:val="both"/>
        <w:rPr>
          <w:rFonts w:ascii="Arial Rounded MT Bold" w:hAnsi="Arial Rounded MT Bold" w:cs="Tahoma"/>
          <w:b/>
          <w:lang w:val="en-GB"/>
        </w:rPr>
      </w:pPr>
    </w:p>
    <w:p w:rsidR="00DE5190" w:rsidRDefault="00DE5190" w:rsidP="00DE5190">
      <w:pPr>
        <w:ind w:left="720" w:right="720"/>
        <w:jc w:val="both"/>
        <w:rPr>
          <w:rFonts w:ascii="Arial Rounded MT Bold" w:hAnsi="Arial Rounded MT Bold" w:cs="Tahoma"/>
          <w:b/>
          <w:lang w:val="en-GB"/>
        </w:rPr>
      </w:pPr>
      <w:r>
        <w:rPr>
          <w:rFonts w:ascii="Arial Rounded MT Bold" w:hAnsi="Arial Rounded MT Bold" w:cs="Tahoma"/>
          <w:b/>
          <w:lang w:val="en-GB"/>
        </w:rPr>
        <w:t>Therefore, from the evidence on record, it is probable that the copy of the Form CE20, which was in possession of the Appellant, was misplaced or lost during the investigations by the Respondent, when it removed the documents from the premises and custody of Appellant to the premises and custody of the Respondent.”</w:t>
      </w:r>
    </w:p>
    <w:p w:rsidR="002320E5" w:rsidRDefault="002320E5" w:rsidP="002320E5">
      <w:pPr>
        <w:ind w:right="720"/>
        <w:jc w:val="both"/>
        <w:rPr>
          <w:rFonts w:ascii="Bookman Old Style" w:hAnsi="Bookman Old Style" w:cs="Tahoma"/>
          <w:bCs/>
          <w:sz w:val="28"/>
          <w:szCs w:val="28"/>
          <w:lang w:val="en-GB"/>
        </w:rPr>
      </w:pPr>
    </w:p>
    <w:p w:rsidR="00DE5190" w:rsidRDefault="00DE5190" w:rsidP="002320E5">
      <w:pPr>
        <w:ind w:right="720"/>
        <w:jc w:val="both"/>
        <w:rPr>
          <w:rFonts w:ascii="Bookman Old Style" w:hAnsi="Bookman Old Style" w:cs="Tahoma"/>
          <w:bCs/>
          <w:sz w:val="28"/>
          <w:szCs w:val="28"/>
          <w:lang w:val="en-GB"/>
        </w:rPr>
      </w:pPr>
    </w:p>
    <w:p w:rsidR="002320E5" w:rsidRDefault="00B70C69" w:rsidP="00B70C69">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submits that it is the Appellant’s position that initially, it had the necessary customs documents which it could have used to prove that the goods it transported had merely passed through Zambia.  But the documents had </w:t>
      </w:r>
      <w:r w:rsidR="00B3336F">
        <w:rPr>
          <w:rFonts w:ascii="Bookman Old Style" w:hAnsi="Bookman Old Style" w:cs="Tahoma"/>
          <w:bCs/>
          <w:sz w:val="28"/>
          <w:szCs w:val="28"/>
          <w:lang w:val="en-GB"/>
        </w:rPr>
        <w:t>been collected and not returned by the Respondent.</w:t>
      </w:r>
    </w:p>
    <w:p w:rsidR="00B3336F" w:rsidRDefault="00B3336F" w:rsidP="00B70C69">
      <w:pPr>
        <w:spacing w:line="360" w:lineRule="auto"/>
        <w:ind w:firstLine="720"/>
        <w:jc w:val="both"/>
        <w:rPr>
          <w:rFonts w:ascii="Bookman Old Style" w:hAnsi="Bookman Old Style" w:cs="Tahoma"/>
          <w:bCs/>
          <w:sz w:val="28"/>
          <w:szCs w:val="28"/>
          <w:lang w:val="en-GB"/>
        </w:rPr>
      </w:pPr>
    </w:p>
    <w:p w:rsidR="00B3336F" w:rsidRDefault="00B3336F" w:rsidP="00B70C69">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lastRenderedPageBreak/>
        <w:t xml:space="preserve">He submits that when the Revenue Authority assess Tax, the burden of proof lies on the Tax payer.  But that burden is on the balance of probability.  That to discharge that burden, all what the Appellant, as Tax payer, had to do is to lead evidence </w:t>
      </w:r>
      <w:r>
        <w:rPr>
          <w:rFonts w:ascii="Bookman Old Style" w:hAnsi="Bookman Old Style" w:cs="Tahoma"/>
          <w:bCs/>
          <w:i/>
          <w:iCs/>
          <w:sz w:val="28"/>
          <w:szCs w:val="28"/>
          <w:lang w:val="en-GB"/>
        </w:rPr>
        <w:t>“given on oath or affirmation or by sworn evidence to demonstrate that the assessment ought to be reduced or set aside.”</w:t>
      </w:r>
      <w:r w:rsidR="00462D12">
        <w:rPr>
          <w:rFonts w:ascii="Bookman Old Style" w:hAnsi="Bookman Old Style" w:cs="Tahoma"/>
          <w:bCs/>
          <w:i/>
          <w:iCs/>
          <w:sz w:val="28"/>
          <w:szCs w:val="28"/>
          <w:lang w:val="en-GB"/>
        </w:rPr>
        <w:t xml:space="preserve">  </w:t>
      </w:r>
      <w:r w:rsidR="00462D12">
        <w:rPr>
          <w:rFonts w:ascii="Bookman Old Style" w:hAnsi="Bookman Old Style" w:cs="Tahoma"/>
          <w:bCs/>
          <w:sz w:val="28"/>
          <w:szCs w:val="28"/>
          <w:lang w:val="en-GB"/>
        </w:rPr>
        <w:t xml:space="preserve"> In support of this argument he referred to paragraph 1677 of Volume 34  of the 4</w:t>
      </w:r>
      <w:r w:rsidR="00462D12" w:rsidRPr="00462D12">
        <w:rPr>
          <w:rFonts w:ascii="Bookman Old Style" w:hAnsi="Bookman Old Style" w:cs="Tahoma"/>
          <w:bCs/>
          <w:sz w:val="28"/>
          <w:szCs w:val="28"/>
          <w:vertAlign w:val="superscript"/>
          <w:lang w:val="en-GB"/>
        </w:rPr>
        <w:t>th</w:t>
      </w:r>
      <w:r w:rsidR="00462D12">
        <w:rPr>
          <w:rFonts w:ascii="Bookman Old Style" w:hAnsi="Bookman Old Style" w:cs="Tahoma"/>
          <w:bCs/>
          <w:sz w:val="28"/>
          <w:szCs w:val="28"/>
          <w:lang w:val="en-GB"/>
        </w:rPr>
        <w:t xml:space="preserve"> Edition of </w:t>
      </w:r>
      <w:r w:rsidR="00462D12">
        <w:rPr>
          <w:rFonts w:ascii="Bookman Old Style" w:hAnsi="Bookman Old Style" w:cs="Tahoma"/>
          <w:b/>
          <w:sz w:val="28"/>
          <w:szCs w:val="28"/>
          <w:u w:val="single"/>
          <w:lang w:val="en-GB"/>
        </w:rPr>
        <w:t>Halsbury’s Laws of England</w:t>
      </w:r>
      <w:r w:rsidR="00462D12">
        <w:rPr>
          <w:rFonts w:ascii="Bookman Old Style" w:hAnsi="Bookman Old Style" w:cs="Tahoma"/>
          <w:bCs/>
          <w:sz w:val="28"/>
          <w:szCs w:val="28"/>
          <w:lang w:val="en-GB"/>
        </w:rPr>
        <w:t>.</w:t>
      </w:r>
      <w:r w:rsidR="007D2AD4">
        <w:rPr>
          <w:rFonts w:ascii="Bookman Old Style" w:hAnsi="Bookman Old Style" w:cs="Tahoma"/>
          <w:bCs/>
          <w:sz w:val="28"/>
          <w:szCs w:val="28"/>
          <w:lang w:val="en-GB"/>
        </w:rPr>
        <w:t xml:space="preserve">   He adds that the findings of the Judge in the Court below, as set out above, are correct.  That in the face of the evidence on record and the Judge’s</w:t>
      </w:r>
      <w:r w:rsidR="00DE5190">
        <w:rPr>
          <w:rFonts w:ascii="Bookman Old Style" w:hAnsi="Bookman Old Style" w:cs="Tahoma"/>
          <w:bCs/>
          <w:sz w:val="28"/>
          <w:szCs w:val="28"/>
          <w:lang w:val="en-GB"/>
        </w:rPr>
        <w:t xml:space="preserve"> conclusions thereon, there was no need to call for further evidence and/or send the matter for re-hearing.  That the learned trial Judge ought to have allowed the appeal against the Revenue Appeal’s Tribunal on that basis.</w:t>
      </w:r>
    </w:p>
    <w:p w:rsidR="0026217D" w:rsidRDefault="0026217D" w:rsidP="00B70C69">
      <w:pPr>
        <w:spacing w:line="360" w:lineRule="auto"/>
        <w:ind w:firstLine="720"/>
        <w:jc w:val="both"/>
        <w:rPr>
          <w:rFonts w:ascii="Bookman Old Style" w:hAnsi="Bookman Old Style" w:cs="Tahoma"/>
          <w:bCs/>
          <w:sz w:val="28"/>
          <w:szCs w:val="28"/>
          <w:lang w:val="en-GB"/>
        </w:rPr>
      </w:pPr>
    </w:p>
    <w:p w:rsidR="0026217D" w:rsidRDefault="0026217D" w:rsidP="00B70C69">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In response on behalf of the Respondent, on this ground, Mr. Locha makes lengthy submissions.  The gist of his submissions is that the burden of proof in tax matters, where an assessment was made against a </w:t>
      </w:r>
      <w:r w:rsidR="003933D4">
        <w:rPr>
          <w:rFonts w:ascii="Bookman Old Style" w:hAnsi="Bookman Old Style" w:cs="Tahoma"/>
          <w:bCs/>
          <w:sz w:val="28"/>
          <w:szCs w:val="28"/>
          <w:lang w:val="en-GB"/>
        </w:rPr>
        <w:t>Tax paper, lies squarely on the Tax payer.  That it is up to the Tax payer to discharge the burden, on the balance of probability, and show that the assessment is wrong or that it has not been properly made.</w:t>
      </w:r>
      <w:r w:rsidR="00825296">
        <w:rPr>
          <w:rFonts w:ascii="Bookman Old Style" w:hAnsi="Bookman Old Style" w:cs="Tahoma"/>
          <w:bCs/>
          <w:sz w:val="28"/>
          <w:szCs w:val="28"/>
          <w:lang w:val="en-GB"/>
        </w:rPr>
        <w:t xml:space="preserve">  As authority, he also referred us to paragraph 1677 of Volume 34 of the 4</w:t>
      </w:r>
      <w:r w:rsidR="00825296" w:rsidRPr="00825296">
        <w:rPr>
          <w:rFonts w:ascii="Bookman Old Style" w:hAnsi="Bookman Old Style" w:cs="Tahoma"/>
          <w:bCs/>
          <w:sz w:val="28"/>
          <w:szCs w:val="28"/>
          <w:vertAlign w:val="superscript"/>
          <w:lang w:val="en-GB"/>
        </w:rPr>
        <w:t>th</w:t>
      </w:r>
      <w:r w:rsidR="00825296">
        <w:rPr>
          <w:rFonts w:ascii="Bookman Old Style" w:hAnsi="Bookman Old Style" w:cs="Tahoma"/>
          <w:bCs/>
          <w:sz w:val="28"/>
          <w:szCs w:val="28"/>
          <w:lang w:val="en-GB"/>
        </w:rPr>
        <w:t xml:space="preserve"> Edition of </w:t>
      </w:r>
      <w:r w:rsidR="00825296">
        <w:rPr>
          <w:rFonts w:ascii="Bookman Old Style" w:hAnsi="Bookman Old Style" w:cs="Tahoma"/>
          <w:b/>
          <w:sz w:val="28"/>
          <w:szCs w:val="28"/>
          <w:u w:val="single"/>
          <w:lang w:val="en-GB"/>
        </w:rPr>
        <w:t>Halsbury’s Laws of England</w:t>
      </w:r>
      <w:r w:rsidR="00825296">
        <w:rPr>
          <w:rFonts w:ascii="Bookman Old Style" w:hAnsi="Bookman Old Style" w:cs="Tahoma"/>
          <w:b/>
          <w:sz w:val="28"/>
          <w:szCs w:val="28"/>
          <w:lang w:val="en-GB"/>
        </w:rPr>
        <w:t xml:space="preserve">.  </w:t>
      </w:r>
      <w:r w:rsidR="00825296">
        <w:rPr>
          <w:rFonts w:ascii="Bookman Old Style" w:hAnsi="Bookman Old Style" w:cs="Tahoma"/>
          <w:bCs/>
          <w:sz w:val="28"/>
          <w:szCs w:val="28"/>
          <w:lang w:val="en-GB"/>
        </w:rPr>
        <w:t xml:space="preserve">He submits that the Appellant’s Managing Director, A.W.1, failed to give sufficient evidence to discharge the burden, to prove that the goods which were entered and declared as transit goods, actually exited Zambia, through the customs border post at </w:t>
      </w:r>
      <w:r w:rsidR="00825296">
        <w:rPr>
          <w:rFonts w:ascii="Bookman Old Style" w:hAnsi="Bookman Old Style" w:cs="Tahoma"/>
          <w:bCs/>
          <w:sz w:val="28"/>
          <w:szCs w:val="28"/>
          <w:lang w:val="en-GB"/>
        </w:rPr>
        <w:lastRenderedPageBreak/>
        <w:t xml:space="preserve">Kasumbalesa, on the way to Congo Democratic Republic.  That the Respondent clearly failed to produce even a single customs acquittal document to show that the goods which the Respondent had moved under declaration as transit goods, indeed did exit Zambia.  He adds that parties to an action should bring all relevant evidence available to them in order for the Court to adequately deal with the matter.  It is unsafe to leave to the Court to start making guesses in respect of certain evidence.  In support of the submission, he referred us to </w:t>
      </w:r>
      <w:r w:rsidR="00825296">
        <w:rPr>
          <w:rFonts w:ascii="Bookman Old Style" w:hAnsi="Bookman Old Style" w:cs="Tahoma"/>
          <w:b/>
          <w:sz w:val="28"/>
          <w:szCs w:val="28"/>
          <w:u w:val="single"/>
          <w:lang w:val="en-GB"/>
        </w:rPr>
        <w:t>Eastern Co-operative Union v Yamene Transport Limited</w:t>
      </w:r>
      <w:r w:rsidR="00825296">
        <w:rPr>
          <w:rFonts w:ascii="Bookman Old Style" w:hAnsi="Bookman Old Style" w:cs="Tahoma"/>
          <w:b/>
          <w:sz w:val="28"/>
          <w:szCs w:val="28"/>
          <w:lang w:val="en-GB"/>
        </w:rPr>
        <w:t xml:space="preserve"> (1)</w:t>
      </w:r>
      <w:r w:rsidR="00825296">
        <w:rPr>
          <w:rFonts w:ascii="Bookman Old Style" w:hAnsi="Bookman Old Style" w:cs="Tahoma"/>
          <w:bCs/>
          <w:sz w:val="28"/>
          <w:szCs w:val="28"/>
          <w:lang w:val="en-GB"/>
        </w:rPr>
        <w:t>.</w:t>
      </w:r>
    </w:p>
    <w:p w:rsidR="00126799" w:rsidRDefault="00126799" w:rsidP="00B70C69">
      <w:pPr>
        <w:spacing w:line="360" w:lineRule="auto"/>
        <w:ind w:firstLine="720"/>
        <w:jc w:val="both"/>
        <w:rPr>
          <w:rFonts w:ascii="Bookman Old Style" w:hAnsi="Bookman Old Style" w:cs="Tahoma"/>
          <w:bCs/>
          <w:sz w:val="28"/>
          <w:szCs w:val="28"/>
          <w:lang w:val="en-GB"/>
        </w:rPr>
      </w:pPr>
    </w:p>
    <w:p w:rsidR="00601231" w:rsidRDefault="00126799" w:rsidP="0060123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He refers to the evidence of Dennis Mwikisa, a Customs Officer who was subpoenaed  by the Appellant, to testify on its behalf.  He points out that, this witness testified, inter alia, that acquittal details and records are recorded in three Registers.</w:t>
      </w:r>
      <w:r w:rsidR="000C42F0">
        <w:rPr>
          <w:rFonts w:ascii="Bookman Old Style" w:hAnsi="Bookman Old Style" w:cs="Tahoma"/>
          <w:bCs/>
          <w:sz w:val="28"/>
          <w:szCs w:val="28"/>
          <w:lang w:val="en-GB"/>
        </w:rPr>
        <w:t xml:space="preserve">   That one Register at the Customs Port of Entry, one at the Customs Port of Exit, one Register belonging to the Clearing Agent.  That customs acquittal</w:t>
      </w:r>
      <w:r w:rsidR="00E97386">
        <w:rPr>
          <w:rFonts w:ascii="Bookman Old Style" w:hAnsi="Bookman Old Style" w:cs="Tahoma"/>
          <w:bCs/>
          <w:sz w:val="28"/>
          <w:szCs w:val="28"/>
          <w:lang w:val="en-GB"/>
        </w:rPr>
        <w:t xml:space="preserve"> </w:t>
      </w:r>
      <w:r w:rsidR="00601231">
        <w:rPr>
          <w:rFonts w:ascii="Bookman Old Style" w:hAnsi="Bookman Old Style" w:cs="Tahoma"/>
          <w:bCs/>
          <w:sz w:val="28"/>
          <w:szCs w:val="28"/>
          <w:lang w:val="en-GB"/>
        </w:rPr>
        <w:t>Form CE20,  which is called the transit document, is prepared by the Respondent and usually has 15 copies.  The Respondent retains only 4 copies.  The rest are distributed amongst the clearing Agent, the transporter and the importer.</w:t>
      </w:r>
    </w:p>
    <w:p w:rsidR="00601231" w:rsidRDefault="00601231" w:rsidP="00601231">
      <w:pPr>
        <w:spacing w:line="360" w:lineRule="auto"/>
        <w:ind w:firstLine="720"/>
        <w:jc w:val="both"/>
        <w:rPr>
          <w:rFonts w:ascii="Bookman Old Style" w:hAnsi="Bookman Old Style" w:cs="Tahoma"/>
          <w:bCs/>
          <w:sz w:val="28"/>
          <w:szCs w:val="28"/>
          <w:lang w:val="en-GB"/>
        </w:rPr>
      </w:pPr>
    </w:p>
    <w:p w:rsidR="00CE01DA" w:rsidRDefault="00601231" w:rsidP="0060123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He submits that from the findings of fact by both the Revenue Appeals Tribunal and the High Court, with regard to the evidence of Dennis Mwikisa, it is abundantly</w:t>
      </w:r>
      <w:r w:rsidR="00A65296">
        <w:rPr>
          <w:rFonts w:ascii="Bookman Old Style" w:hAnsi="Bookman Old Style" w:cs="Tahoma"/>
          <w:bCs/>
          <w:sz w:val="28"/>
          <w:szCs w:val="28"/>
          <w:lang w:val="en-GB"/>
        </w:rPr>
        <w:t xml:space="preserve"> clear that the evidence which was tendered </w:t>
      </w:r>
      <w:r w:rsidR="00A97827">
        <w:rPr>
          <w:rFonts w:ascii="Bookman Old Style" w:hAnsi="Bookman Old Style" w:cs="Tahoma"/>
          <w:bCs/>
          <w:sz w:val="28"/>
          <w:szCs w:val="28"/>
          <w:lang w:val="en-GB"/>
        </w:rPr>
        <w:t>was insufficient and of less help.  He points out that the witness</w:t>
      </w:r>
      <w:r w:rsidR="006E7442">
        <w:rPr>
          <w:rFonts w:ascii="Bookman Old Style" w:hAnsi="Bookman Old Style" w:cs="Tahoma"/>
          <w:bCs/>
          <w:sz w:val="28"/>
          <w:szCs w:val="28"/>
          <w:lang w:val="en-GB"/>
        </w:rPr>
        <w:t xml:space="preserve"> talked about Registers, which he failed to produce before </w:t>
      </w:r>
      <w:r w:rsidR="006E7442">
        <w:rPr>
          <w:rFonts w:ascii="Bookman Old Style" w:hAnsi="Bookman Old Style" w:cs="Tahoma"/>
          <w:bCs/>
          <w:sz w:val="28"/>
          <w:szCs w:val="28"/>
          <w:lang w:val="en-GB"/>
        </w:rPr>
        <w:lastRenderedPageBreak/>
        <w:t>the Tribunal.  He argues that it was incumbent on the Appellant, and very cardinal to its case, to have advised him to produce the Registers and indeed to subpoena him for the second time, to produce the Registers, to prove the availability of the customs acquittal records in favour of the Appellant.  That testimony with supporting documents, in the form of Registers, would have helped the Tribunal to establish the burden of proof in favour of the Appellant.  He points out that information on acquittals of transit goods can be obtained not only from the Appellant but also from the Importer, the clearing Agent, the Port of Entry as well as the Respondent’s</w:t>
      </w:r>
      <w:r w:rsidR="008B0520">
        <w:rPr>
          <w:rFonts w:ascii="Bookman Old Style" w:hAnsi="Bookman Old Style" w:cs="Tahoma"/>
          <w:bCs/>
          <w:sz w:val="28"/>
          <w:szCs w:val="28"/>
          <w:lang w:val="en-GB"/>
        </w:rPr>
        <w:t xml:space="preserve"> Head Office.  He submits that in the circumstances, </w:t>
      </w:r>
      <w:r w:rsidR="00CE01DA">
        <w:rPr>
          <w:rFonts w:ascii="Bookman Old Style" w:hAnsi="Bookman Old Style" w:cs="Tahoma"/>
          <w:bCs/>
          <w:sz w:val="28"/>
          <w:szCs w:val="28"/>
          <w:lang w:val="en-GB"/>
        </w:rPr>
        <w:t>the assertions by the Appellant that its documents were taken away by the Respondent is so insufficient that it cannot assist the Appellant to discharge the burden of proof, in order to have the assessment of Tax set aside.</w:t>
      </w:r>
    </w:p>
    <w:p w:rsidR="00CE01DA" w:rsidRDefault="00CE01DA" w:rsidP="00601231">
      <w:pPr>
        <w:spacing w:line="360" w:lineRule="auto"/>
        <w:ind w:firstLine="720"/>
        <w:jc w:val="both"/>
        <w:rPr>
          <w:rFonts w:ascii="Bookman Old Style" w:hAnsi="Bookman Old Style" w:cs="Tahoma"/>
          <w:bCs/>
          <w:sz w:val="28"/>
          <w:szCs w:val="28"/>
          <w:lang w:val="en-GB"/>
        </w:rPr>
      </w:pPr>
    </w:p>
    <w:p w:rsidR="00212D23" w:rsidRDefault="00CE01DA" w:rsidP="0060123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points out that the learned Judge in the Court below, sat as an appellate Court, and not as a trial Court.  That the appeal was by way of record.  That the Judge’s conclusion under this ground, was based on the evidence on record, together with the findings made by </w:t>
      </w:r>
      <w:r w:rsidR="00AD352F">
        <w:rPr>
          <w:rFonts w:ascii="Bookman Old Style" w:hAnsi="Bookman Old Style" w:cs="Tahoma"/>
          <w:bCs/>
          <w:sz w:val="28"/>
          <w:szCs w:val="28"/>
          <w:lang w:val="en-GB"/>
        </w:rPr>
        <w:t xml:space="preserve">the Tribunal.  That the High Court, sitting as an appellate Court, could not easily interfere with the findings of the trial Tribunal.  As authority for this submission, he cites </w:t>
      </w:r>
      <w:r w:rsidR="00AD352F">
        <w:rPr>
          <w:rFonts w:ascii="Bookman Old Style" w:hAnsi="Bookman Old Style" w:cs="Tahoma"/>
          <w:b/>
          <w:sz w:val="28"/>
          <w:szCs w:val="28"/>
          <w:u w:val="single"/>
          <w:lang w:val="en-GB"/>
        </w:rPr>
        <w:t>Kapembwa v Maimbolwa and A.G.</w:t>
      </w:r>
      <w:r w:rsidR="00AD352F">
        <w:rPr>
          <w:rFonts w:ascii="Bookman Old Style" w:hAnsi="Bookman Old Style" w:cs="Tahoma"/>
          <w:b/>
          <w:sz w:val="28"/>
          <w:szCs w:val="28"/>
          <w:lang w:val="en-GB"/>
        </w:rPr>
        <w:t xml:space="preserve"> (2)</w:t>
      </w:r>
      <w:r w:rsidR="00AD352F">
        <w:rPr>
          <w:rFonts w:ascii="Bookman Old Style" w:hAnsi="Bookman Old Style" w:cs="Tahoma"/>
          <w:bCs/>
          <w:sz w:val="28"/>
          <w:szCs w:val="28"/>
          <w:lang w:val="en-GB"/>
        </w:rPr>
        <w:t xml:space="preserve">.  Therefore, he submits that the learned Judge on appeal cannot be faulted, as she analyzed the record of appeal and equally made findings of fact from the record, </w:t>
      </w:r>
      <w:r w:rsidR="00AD352F">
        <w:rPr>
          <w:rFonts w:ascii="Bookman Old Style" w:hAnsi="Bookman Old Style" w:cs="Tahoma"/>
          <w:bCs/>
          <w:sz w:val="28"/>
          <w:szCs w:val="28"/>
          <w:lang w:val="en-GB"/>
        </w:rPr>
        <w:lastRenderedPageBreak/>
        <w:t>that the evidence tendered</w:t>
      </w:r>
      <w:r w:rsidR="00212D23">
        <w:rPr>
          <w:rFonts w:ascii="Bookman Old Style" w:hAnsi="Bookman Old Style" w:cs="Tahoma"/>
          <w:bCs/>
          <w:sz w:val="28"/>
          <w:szCs w:val="28"/>
          <w:lang w:val="en-GB"/>
        </w:rPr>
        <w:t xml:space="preserve"> was not sufficient and accordingly made the order on record.</w:t>
      </w:r>
    </w:p>
    <w:p w:rsidR="00212D23" w:rsidRDefault="00212D23" w:rsidP="00601231">
      <w:pPr>
        <w:spacing w:line="360" w:lineRule="auto"/>
        <w:ind w:firstLine="720"/>
        <w:jc w:val="both"/>
        <w:rPr>
          <w:rFonts w:ascii="Bookman Old Style" w:hAnsi="Bookman Old Style" w:cs="Tahoma"/>
          <w:bCs/>
          <w:sz w:val="28"/>
          <w:szCs w:val="28"/>
          <w:lang w:val="en-GB"/>
        </w:rPr>
      </w:pPr>
    </w:p>
    <w:p w:rsidR="00F9617B" w:rsidRDefault="00212D23" w:rsidP="001F5429">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We have examined the Judgment and case record in the Court below and have considered the submissions by Counsel on this ground.  In our view, </w:t>
      </w:r>
      <w:r w:rsidR="00EB156B">
        <w:rPr>
          <w:rFonts w:ascii="Bookman Old Style" w:hAnsi="Bookman Old Style" w:cs="Tahoma"/>
          <w:bCs/>
          <w:sz w:val="28"/>
          <w:szCs w:val="28"/>
          <w:lang w:val="en-GB"/>
        </w:rPr>
        <w:t>actual production of the customs acquittal documents by the Appellant, is the effective way of proving that the consignment in question was merely on transit and exited Zambia, through Kasumbalesa border post</w:t>
      </w:r>
      <w:r w:rsidR="001F5429">
        <w:rPr>
          <w:rFonts w:ascii="Bookman Old Style" w:hAnsi="Bookman Old Style" w:cs="Tahoma"/>
          <w:bCs/>
          <w:sz w:val="28"/>
          <w:szCs w:val="28"/>
          <w:lang w:val="en-GB"/>
        </w:rPr>
        <w:t>,</w:t>
      </w:r>
      <w:r w:rsidR="00EB156B">
        <w:rPr>
          <w:rFonts w:ascii="Bookman Old Style" w:hAnsi="Bookman Old Style" w:cs="Tahoma"/>
          <w:bCs/>
          <w:sz w:val="28"/>
          <w:szCs w:val="28"/>
          <w:lang w:val="en-GB"/>
        </w:rPr>
        <w:t xml:space="preserve"> into Congo Democratic Republic</w:t>
      </w:r>
      <w:r w:rsidR="001F5429">
        <w:rPr>
          <w:rFonts w:ascii="Bookman Old Style" w:hAnsi="Bookman Old Style" w:cs="Tahoma"/>
          <w:bCs/>
          <w:sz w:val="28"/>
          <w:szCs w:val="28"/>
          <w:lang w:val="en-GB"/>
        </w:rPr>
        <w:t xml:space="preserve">.  </w:t>
      </w:r>
      <w:r w:rsidR="00EB156B">
        <w:rPr>
          <w:rFonts w:ascii="Bookman Old Style" w:hAnsi="Bookman Old Style" w:cs="Tahoma"/>
          <w:bCs/>
          <w:sz w:val="28"/>
          <w:szCs w:val="28"/>
          <w:lang w:val="en-GB"/>
        </w:rPr>
        <w:t xml:space="preserve"> </w:t>
      </w:r>
      <w:r w:rsidR="001F5429">
        <w:rPr>
          <w:rFonts w:ascii="Bookman Old Style" w:hAnsi="Bookman Old Style" w:cs="Tahoma"/>
          <w:bCs/>
          <w:sz w:val="28"/>
          <w:szCs w:val="28"/>
          <w:lang w:val="en-GB"/>
        </w:rPr>
        <w:t>S</w:t>
      </w:r>
      <w:r w:rsidR="00EB156B">
        <w:rPr>
          <w:rFonts w:ascii="Bookman Old Style" w:hAnsi="Bookman Old Style" w:cs="Tahoma"/>
          <w:bCs/>
          <w:sz w:val="28"/>
          <w:szCs w:val="28"/>
          <w:lang w:val="en-GB"/>
        </w:rPr>
        <w:t xml:space="preserve">uch production is the effective way of discharging the burden by the Appellant that the assessment of K581,407,886 by the Respondent, is wrong and ought to be set aside.  From the record, we accept that Respondent collected the Appellant’s customs acquittal documents and may have lost them, together with other documents.  But as correctly pointed out by Mr. Locha, information on acquittals of transit goods in this case, can be obtained not only from the Appellant but from four other sources as well.  These sources are the importer, the clearing agent, the </w:t>
      </w:r>
      <w:r w:rsidR="005A73DC">
        <w:rPr>
          <w:rFonts w:ascii="Bookman Old Style" w:hAnsi="Bookman Old Style" w:cs="Tahoma"/>
          <w:bCs/>
          <w:sz w:val="28"/>
          <w:szCs w:val="28"/>
          <w:lang w:val="en-GB"/>
        </w:rPr>
        <w:t xml:space="preserve">port of entry, and the Respondent’s head office.  In short, on the evidence, documentary proof that the goods in question were merely on transit and did exit Zambia, could have been, and can be, obtained from four alternative sources.  This evidence is in the form of Custom acquittal Form CE20 and/or the Registers.  We agree with Mr. Locha, that mere verbal assertions that the goods in question were in transit and did exit Zambia, was not sufficient to enable the appellant to discharge the burden of proof cast on it.  We hold that the learned Judge in the lower Court was </w:t>
      </w:r>
      <w:r w:rsidR="00A21968">
        <w:rPr>
          <w:rFonts w:ascii="Bookman Old Style" w:hAnsi="Bookman Old Style" w:cs="Tahoma"/>
          <w:bCs/>
          <w:sz w:val="28"/>
          <w:szCs w:val="28"/>
          <w:lang w:val="en-GB"/>
        </w:rPr>
        <w:t xml:space="preserve">correct in referring the </w:t>
      </w:r>
      <w:r w:rsidR="00A21968">
        <w:rPr>
          <w:rFonts w:ascii="Bookman Old Style" w:hAnsi="Bookman Old Style" w:cs="Tahoma"/>
          <w:bCs/>
          <w:sz w:val="28"/>
          <w:szCs w:val="28"/>
          <w:lang w:val="en-GB"/>
        </w:rPr>
        <w:lastRenderedPageBreak/>
        <w:t>case back to the Revenue Tribunal, for re-hearing.  Accordingly, we dismiss ground one of appeal.</w:t>
      </w:r>
    </w:p>
    <w:p w:rsidR="00F9617B" w:rsidRDefault="00F9617B" w:rsidP="005A73DC">
      <w:pPr>
        <w:spacing w:line="360" w:lineRule="auto"/>
        <w:ind w:firstLine="720"/>
        <w:jc w:val="both"/>
        <w:rPr>
          <w:rFonts w:ascii="Bookman Old Style" w:hAnsi="Bookman Old Style" w:cs="Tahoma"/>
          <w:bCs/>
          <w:sz w:val="28"/>
          <w:szCs w:val="28"/>
          <w:lang w:val="en-GB"/>
        </w:rPr>
      </w:pPr>
    </w:p>
    <w:p w:rsidR="00C56214" w:rsidRDefault="00F9617B" w:rsidP="005A73DC">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On ground two, Mr. Mundashi makes lengthy submissions.  The gist of his submissions is that had the learned Judge in the Court below</w:t>
      </w:r>
      <w:r w:rsidR="001F5429">
        <w:rPr>
          <w:rFonts w:ascii="Bookman Old Style" w:hAnsi="Bookman Old Style" w:cs="Tahoma"/>
          <w:bCs/>
          <w:sz w:val="28"/>
          <w:szCs w:val="28"/>
          <w:lang w:val="en-GB"/>
        </w:rPr>
        <w:t>,</w:t>
      </w:r>
      <w:r>
        <w:rPr>
          <w:rFonts w:ascii="Bookman Old Style" w:hAnsi="Bookman Old Style" w:cs="Tahoma"/>
          <w:bCs/>
          <w:sz w:val="28"/>
          <w:szCs w:val="28"/>
          <w:lang w:val="en-GB"/>
        </w:rPr>
        <w:t xml:space="preserve"> considered the full</w:t>
      </w:r>
      <w:r w:rsidR="00642531">
        <w:rPr>
          <w:rFonts w:ascii="Bookman Old Style" w:hAnsi="Bookman Old Style" w:cs="Tahoma"/>
          <w:bCs/>
          <w:sz w:val="28"/>
          <w:szCs w:val="28"/>
          <w:lang w:val="en-GB"/>
        </w:rPr>
        <w:t xml:space="preserve"> effect of the provisions of the Act, the schedule and the Gazette Notice, she would have come to the conclusion that the Appellant’s supply of service, in the form of transportation of goods in transit, </w:t>
      </w:r>
      <w:r w:rsidR="002D7996">
        <w:rPr>
          <w:rFonts w:ascii="Bookman Old Style" w:hAnsi="Bookman Old Style" w:cs="Tahoma"/>
          <w:bCs/>
          <w:sz w:val="28"/>
          <w:szCs w:val="28"/>
          <w:lang w:val="en-GB"/>
        </w:rPr>
        <w:t xml:space="preserve">was zero rated – i.e. not taxable, even in the absence of customs acquittal documents, which appears to have been the main base of her decision.  He submits that the </w:t>
      </w:r>
      <w:r w:rsidR="00C56214">
        <w:rPr>
          <w:rFonts w:ascii="Bookman Old Style" w:hAnsi="Bookman Old Style" w:cs="Tahoma"/>
          <w:bCs/>
          <w:sz w:val="28"/>
          <w:szCs w:val="28"/>
          <w:lang w:val="en-GB"/>
        </w:rPr>
        <w:t xml:space="preserve">service supplied, which was the basis of the assessment, was zero rated.  As to what constitutes zero rating, he submits that the source of law in respect thereof is found in </w:t>
      </w:r>
      <w:r w:rsidR="00C56214" w:rsidRPr="00C56214">
        <w:rPr>
          <w:rFonts w:ascii="Bookman Old Style" w:hAnsi="Bookman Old Style" w:cs="Tahoma"/>
          <w:b/>
          <w:sz w:val="28"/>
          <w:szCs w:val="28"/>
          <w:lang w:val="en-GB"/>
        </w:rPr>
        <w:t>Section 15</w:t>
      </w:r>
      <w:r w:rsidR="00C56214">
        <w:rPr>
          <w:rFonts w:ascii="Bookman Old Style" w:hAnsi="Bookman Old Style" w:cs="Tahoma"/>
          <w:bCs/>
          <w:sz w:val="28"/>
          <w:szCs w:val="28"/>
          <w:lang w:val="en-GB"/>
        </w:rPr>
        <w:t xml:space="preserve"> of </w:t>
      </w:r>
      <w:r w:rsidR="00C56214">
        <w:rPr>
          <w:rFonts w:ascii="Bookman Old Style" w:hAnsi="Bookman Old Style" w:cs="Tahoma"/>
          <w:b/>
          <w:sz w:val="28"/>
          <w:szCs w:val="28"/>
          <w:u w:val="single"/>
          <w:lang w:val="en-GB"/>
        </w:rPr>
        <w:t>Value Added Tax Act</w:t>
      </w:r>
      <w:r w:rsidR="00C56214">
        <w:rPr>
          <w:rFonts w:ascii="Bookman Old Style" w:hAnsi="Bookman Old Style" w:cs="Tahoma"/>
          <w:b/>
          <w:sz w:val="28"/>
          <w:szCs w:val="28"/>
          <w:lang w:val="en-GB"/>
        </w:rPr>
        <w:t>,</w:t>
      </w:r>
      <w:r w:rsidR="00C56214">
        <w:rPr>
          <w:rFonts w:ascii="Bookman Old Style" w:hAnsi="Bookman Old Style" w:cs="Tahoma"/>
          <w:bCs/>
          <w:sz w:val="28"/>
          <w:szCs w:val="28"/>
          <w:lang w:val="en-GB"/>
        </w:rPr>
        <w:t xml:space="preserve"> </w:t>
      </w:r>
      <w:r w:rsidR="00C56214">
        <w:rPr>
          <w:rFonts w:ascii="Bookman Old Style" w:hAnsi="Bookman Old Style" w:cs="Tahoma"/>
          <w:b/>
          <w:sz w:val="28"/>
          <w:szCs w:val="28"/>
          <w:lang w:val="en-GB"/>
        </w:rPr>
        <w:t>Chapter 331</w:t>
      </w:r>
      <w:r w:rsidR="00C56214">
        <w:rPr>
          <w:rFonts w:ascii="Bookman Old Style" w:hAnsi="Bookman Old Style" w:cs="Tahoma"/>
          <w:bCs/>
          <w:sz w:val="28"/>
          <w:szCs w:val="28"/>
          <w:lang w:val="en-GB"/>
        </w:rPr>
        <w:t xml:space="preserve"> of the Laws of Zambia </w:t>
      </w:r>
      <w:r w:rsidR="00C56214">
        <w:rPr>
          <w:rFonts w:ascii="Bookman Old Style" w:hAnsi="Bookman Old Style" w:cs="Tahoma"/>
          <w:bCs/>
          <w:i/>
          <w:iCs/>
          <w:sz w:val="28"/>
          <w:szCs w:val="28"/>
          <w:lang w:val="en-GB"/>
        </w:rPr>
        <w:t>(hereinafter referred to as “The Act).</w:t>
      </w:r>
      <w:r w:rsidR="00C56214">
        <w:rPr>
          <w:rFonts w:ascii="Bookman Old Style" w:hAnsi="Bookman Old Style" w:cs="Tahoma"/>
          <w:bCs/>
          <w:sz w:val="28"/>
          <w:szCs w:val="28"/>
          <w:lang w:val="en-GB"/>
        </w:rPr>
        <w:t xml:space="preserve">  Section 15 (2) provides:-</w:t>
      </w:r>
    </w:p>
    <w:p w:rsidR="00A81E51" w:rsidRPr="00A81E51" w:rsidRDefault="00C56214" w:rsidP="00C56214">
      <w:pPr>
        <w:spacing w:line="360" w:lineRule="auto"/>
        <w:ind w:left="720" w:right="864"/>
        <w:jc w:val="both"/>
        <w:rPr>
          <w:rFonts w:ascii="Arial Rounded MT Bold" w:hAnsi="Arial Rounded MT Bold" w:cs="Tahoma"/>
          <w:bCs/>
          <w:lang w:val="en-GB"/>
        </w:rPr>
      </w:pPr>
      <w:r w:rsidRPr="00A81E51">
        <w:rPr>
          <w:rFonts w:ascii="Arial Rounded MT Bold" w:hAnsi="Arial Rounded MT Bold" w:cs="Tahoma"/>
          <w:b/>
          <w:lang w:val="en-GB"/>
        </w:rPr>
        <w:t>“A supply of goods or services that is described in the Second Schedule shall, unless it is an exempt supply,</w:t>
      </w:r>
      <w:r w:rsidR="00A81E51" w:rsidRPr="00A81E51">
        <w:rPr>
          <w:rFonts w:ascii="Arial Rounded MT Bold" w:hAnsi="Arial Rounded MT Bold" w:cs="Tahoma"/>
          <w:b/>
          <w:lang w:val="en-GB"/>
        </w:rPr>
        <w:t xml:space="preserve"> be a zero rated supply.”</w:t>
      </w:r>
    </w:p>
    <w:p w:rsidR="00A81E51" w:rsidRDefault="00A81E51" w:rsidP="00A81E51">
      <w:pPr>
        <w:spacing w:line="360" w:lineRule="auto"/>
        <w:ind w:left="720"/>
        <w:jc w:val="both"/>
        <w:rPr>
          <w:rFonts w:ascii="Bookman Old Style" w:hAnsi="Bookman Old Style" w:cs="Tahoma"/>
          <w:bCs/>
          <w:sz w:val="28"/>
          <w:szCs w:val="28"/>
          <w:lang w:val="en-GB"/>
        </w:rPr>
      </w:pPr>
    </w:p>
    <w:p w:rsidR="00126799" w:rsidRDefault="00A81E51" w:rsidP="00E3321A">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Paragraph 2 of the second schedule, has a heading called </w:t>
      </w:r>
      <w:r>
        <w:rPr>
          <w:rFonts w:ascii="Bookman Old Style" w:hAnsi="Bookman Old Style" w:cs="Tahoma"/>
          <w:bCs/>
          <w:i/>
          <w:iCs/>
          <w:sz w:val="28"/>
          <w:szCs w:val="28"/>
          <w:lang w:val="en-GB"/>
        </w:rPr>
        <w:t>“exports”,</w:t>
      </w:r>
      <w:r w:rsidR="00601231">
        <w:rPr>
          <w:rFonts w:ascii="Bookman Old Style" w:hAnsi="Bookman Old Style" w:cs="Tahoma"/>
          <w:bCs/>
          <w:sz w:val="28"/>
          <w:szCs w:val="28"/>
          <w:lang w:val="en-GB"/>
        </w:rPr>
        <w:t xml:space="preserve"> </w:t>
      </w:r>
      <w:r>
        <w:rPr>
          <w:rFonts w:ascii="Bookman Old Style" w:hAnsi="Bookman Old Style" w:cs="Tahoma"/>
          <w:bCs/>
          <w:sz w:val="28"/>
          <w:szCs w:val="28"/>
          <w:lang w:val="en-GB"/>
        </w:rPr>
        <w:t>which reads as follows:-</w:t>
      </w:r>
    </w:p>
    <w:p w:rsidR="00A81E51" w:rsidRDefault="00A81E51" w:rsidP="00A81E51">
      <w:pPr>
        <w:spacing w:line="360" w:lineRule="auto"/>
        <w:ind w:left="1440" w:right="1008" w:hanging="720"/>
        <w:jc w:val="both"/>
        <w:rPr>
          <w:rFonts w:ascii="Arial Rounded MT Bold" w:hAnsi="Arial Rounded MT Bold" w:cs="Tahoma"/>
          <w:b/>
          <w:lang w:val="en-GB"/>
        </w:rPr>
      </w:pPr>
      <w:r w:rsidRPr="00A81E51">
        <w:rPr>
          <w:rFonts w:ascii="Arial Rounded MT Bold" w:hAnsi="Arial Rounded MT Bold" w:cs="Tahoma"/>
          <w:b/>
          <w:lang w:val="en-GB"/>
        </w:rPr>
        <w:t>“</w:t>
      </w:r>
      <w:r>
        <w:rPr>
          <w:rFonts w:ascii="Arial Rounded MT Bold" w:hAnsi="Arial Rounded MT Bold" w:cs="Tahoma"/>
          <w:b/>
          <w:lang w:val="en-GB"/>
        </w:rPr>
        <w:t>(a)</w:t>
      </w:r>
      <w:r>
        <w:rPr>
          <w:rFonts w:ascii="Arial Rounded MT Bold" w:hAnsi="Arial Rounded MT Bold" w:cs="Tahoma"/>
          <w:b/>
          <w:lang w:val="en-GB"/>
        </w:rPr>
        <w:tab/>
        <w:t>Export of goods from Zambia by or on behalf of a taxable supplier, w</w:t>
      </w:r>
      <w:r w:rsidR="001F5429">
        <w:rPr>
          <w:rFonts w:ascii="Arial Rounded MT Bold" w:hAnsi="Arial Rounded MT Bold" w:cs="Tahoma"/>
          <w:b/>
          <w:lang w:val="en-GB"/>
        </w:rPr>
        <w:t>h</w:t>
      </w:r>
      <w:r>
        <w:rPr>
          <w:rFonts w:ascii="Arial Rounded MT Bold" w:hAnsi="Arial Rounded MT Bold" w:cs="Tahoma"/>
          <w:b/>
          <w:lang w:val="en-GB"/>
        </w:rPr>
        <w:t>ere such evidence of exportation is produced as the Commissioner-General may, by administrative rule require.</w:t>
      </w:r>
    </w:p>
    <w:p w:rsidR="00A81E51" w:rsidRDefault="00A81E51" w:rsidP="00A81E51">
      <w:pPr>
        <w:spacing w:line="360" w:lineRule="auto"/>
        <w:ind w:left="1440" w:right="1008" w:hanging="720"/>
        <w:jc w:val="both"/>
        <w:rPr>
          <w:rFonts w:ascii="Arial Rounded MT Bold" w:hAnsi="Arial Rounded MT Bold" w:cs="Tahoma"/>
          <w:b/>
          <w:lang w:val="en-GB"/>
        </w:rPr>
      </w:pPr>
      <w:r>
        <w:rPr>
          <w:rFonts w:ascii="Arial Rounded MT Bold" w:hAnsi="Arial Rounded MT Bold" w:cs="Tahoma"/>
          <w:b/>
          <w:lang w:val="en-GB"/>
        </w:rPr>
        <w:t>(b)</w:t>
      </w:r>
      <w:r>
        <w:rPr>
          <w:rFonts w:ascii="Arial Rounded MT Bold" w:hAnsi="Arial Rounded MT Bold" w:cs="Tahoma"/>
          <w:b/>
          <w:lang w:val="en-GB"/>
        </w:rPr>
        <w:tab/>
        <w:t>The supply of services, including transport and ancillary service, which are directly</w:t>
      </w:r>
      <w:r w:rsidR="00E3321A">
        <w:rPr>
          <w:rFonts w:ascii="Arial Rounded MT Bold" w:hAnsi="Arial Rounded MT Bold" w:cs="Tahoma"/>
          <w:b/>
          <w:lang w:val="en-GB"/>
        </w:rPr>
        <w:t xml:space="preserve"> linked to the export of goods under Sub- Item 1.</w:t>
      </w:r>
    </w:p>
    <w:p w:rsidR="00E3321A" w:rsidRDefault="00E3321A" w:rsidP="00A81E51">
      <w:pPr>
        <w:spacing w:line="360" w:lineRule="auto"/>
        <w:ind w:left="1440" w:right="1008" w:hanging="720"/>
        <w:jc w:val="both"/>
        <w:rPr>
          <w:rFonts w:ascii="Arial Rounded MT Bold" w:hAnsi="Arial Rounded MT Bold" w:cs="Tahoma"/>
          <w:b/>
          <w:lang w:val="en-GB"/>
        </w:rPr>
      </w:pPr>
      <w:r>
        <w:rPr>
          <w:rFonts w:ascii="Arial Rounded MT Bold" w:hAnsi="Arial Rounded MT Bold" w:cs="Tahoma"/>
          <w:b/>
          <w:lang w:val="en-GB"/>
        </w:rPr>
        <w:lastRenderedPageBreak/>
        <w:t>(c)</w:t>
      </w:r>
      <w:r>
        <w:rPr>
          <w:rFonts w:ascii="Arial Rounded MT Bold" w:hAnsi="Arial Rounded MT Bold" w:cs="Tahoma"/>
          <w:b/>
          <w:lang w:val="en-GB"/>
        </w:rPr>
        <w:tab/>
        <w:t>The supply of freight transport services from or to Zambia, including transhipment and ancillary services that are directly linked to transit of goods through Zambia to destination outside Zambia.”</w:t>
      </w:r>
    </w:p>
    <w:p w:rsidR="0052524E" w:rsidRDefault="0052524E" w:rsidP="0052524E">
      <w:pPr>
        <w:spacing w:line="360" w:lineRule="auto"/>
        <w:jc w:val="both"/>
        <w:rPr>
          <w:rFonts w:ascii="Arial Rounded MT Bold" w:hAnsi="Arial Rounded MT Bold" w:cs="Tahoma"/>
          <w:b/>
          <w:lang w:val="en-GB"/>
        </w:rPr>
      </w:pPr>
    </w:p>
    <w:p w:rsidR="0052524E" w:rsidRDefault="0052524E" w:rsidP="00CD557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then submits that from these provisions, there are three categories of activities that are zero rated under </w:t>
      </w:r>
      <w:r w:rsidR="002B52F0">
        <w:rPr>
          <w:rFonts w:ascii="Bookman Old Style" w:hAnsi="Bookman Old Style" w:cs="Tahoma"/>
          <w:bCs/>
          <w:sz w:val="28"/>
          <w:szCs w:val="28"/>
          <w:lang w:val="en-GB"/>
        </w:rPr>
        <w:t xml:space="preserve">sub heading </w:t>
      </w:r>
      <w:r w:rsidR="002B52F0">
        <w:rPr>
          <w:rFonts w:ascii="Bookman Old Style" w:hAnsi="Bookman Old Style" w:cs="Tahoma"/>
          <w:bCs/>
          <w:i/>
          <w:iCs/>
          <w:sz w:val="28"/>
          <w:szCs w:val="28"/>
          <w:lang w:val="en-GB"/>
        </w:rPr>
        <w:t>“export”,</w:t>
      </w:r>
      <w:r w:rsidR="002B52F0">
        <w:rPr>
          <w:rFonts w:ascii="Bookman Old Style" w:hAnsi="Bookman Old Style" w:cs="Tahoma"/>
          <w:bCs/>
          <w:sz w:val="28"/>
          <w:szCs w:val="28"/>
          <w:lang w:val="en-GB"/>
        </w:rPr>
        <w:t xml:space="preserve"> under paragraph 2 of the second schedule.  That though grouped together under </w:t>
      </w:r>
      <w:r w:rsidR="00A81E51" w:rsidRPr="002B52F0">
        <w:rPr>
          <w:rFonts w:ascii="Arial Rounded MT Bold" w:hAnsi="Arial Rounded MT Bold" w:cs="Tahoma"/>
          <w:bCs/>
          <w:lang w:val="en-GB"/>
        </w:rPr>
        <w:t xml:space="preserve"> </w:t>
      </w:r>
      <w:r w:rsidR="002B52F0" w:rsidRPr="002B52F0">
        <w:rPr>
          <w:rFonts w:ascii="Arial Rounded MT Bold" w:hAnsi="Arial Rounded MT Bold" w:cs="Tahoma"/>
          <w:bCs/>
          <w:lang w:val="en-GB"/>
        </w:rPr>
        <w:t>“</w:t>
      </w:r>
      <w:r w:rsidR="002B52F0">
        <w:rPr>
          <w:rFonts w:ascii="Bookman Old Style" w:hAnsi="Bookman Old Style" w:cs="Tahoma"/>
          <w:bCs/>
          <w:i/>
          <w:iCs/>
          <w:sz w:val="28"/>
          <w:szCs w:val="28"/>
          <w:lang w:val="en-GB"/>
        </w:rPr>
        <w:t>export”,</w:t>
      </w:r>
      <w:r w:rsidR="002B52F0">
        <w:rPr>
          <w:rFonts w:ascii="Bookman Old Style" w:hAnsi="Bookman Old Style" w:cs="Tahoma"/>
          <w:bCs/>
          <w:sz w:val="28"/>
          <w:szCs w:val="28"/>
          <w:lang w:val="en-GB"/>
        </w:rPr>
        <w:t xml:space="preserve"> these three activities should be treated as distinct separate activities.  He says that the first activity is the export of goods from Zambia by or on behalf of a taxable supplier, where such evidence of exportation is produced to the Commissioner General may, by administrative rule require.  He submits </w:t>
      </w:r>
      <w:r w:rsidR="003B74A3">
        <w:rPr>
          <w:rFonts w:ascii="Bookman Old Style" w:hAnsi="Bookman Old Style" w:cs="Tahoma"/>
          <w:bCs/>
          <w:sz w:val="28"/>
          <w:szCs w:val="28"/>
          <w:lang w:val="en-GB"/>
        </w:rPr>
        <w:t xml:space="preserve">that under this activity, a registered taxable supplier may export goods and on production of such evidence, may have that supply zero rated.  He submits that the Appellant never </w:t>
      </w:r>
      <w:r w:rsidR="00CD5571">
        <w:rPr>
          <w:rFonts w:ascii="Bookman Old Style" w:hAnsi="Bookman Old Style" w:cs="Tahoma"/>
          <w:bCs/>
          <w:sz w:val="28"/>
          <w:szCs w:val="28"/>
          <w:lang w:val="en-GB"/>
        </w:rPr>
        <w:t>sought relief under the first activity.</w:t>
      </w:r>
    </w:p>
    <w:p w:rsidR="00CD5571" w:rsidRDefault="00CD5571" w:rsidP="00CD5571">
      <w:pPr>
        <w:spacing w:line="360" w:lineRule="auto"/>
        <w:ind w:firstLine="720"/>
        <w:jc w:val="both"/>
        <w:rPr>
          <w:rFonts w:ascii="Bookman Old Style" w:hAnsi="Bookman Old Style" w:cs="Tahoma"/>
          <w:bCs/>
          <w:sz w:val="28"/>
          <w:szCs w:val="28"/>
          <w:lang w:val="en-GB"/>
        </w:rPr>
      </w:pPr>
    </w:p>
    <w:p w:rsidR="00CD5571" w:rsidRDefault="00CD5571" w:rsidP="00276C1F">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says that the second activity is the supply of services, including transport and ancillary services, which are directly </w:t>
      </w:r>
      <w:r w:rsidR="00E30289">
        <w:rPr>
          <w:rFonts w:ascii="Bookman Old Style" w:hAnsi="Bookman Old Style" w:cs="Tahoma"/>
          <w:bCs/>
          <w:sz w:val="28"/>
          <w:szCs w:val="28"/>
          <w:lang w:val="en-GB"/>
        </w:rPr>
        <w:t>linked to the export of goods.  He submits that any service, including transport and ancillary service, which is directly linked to sub Item 1 (</w:t>
      </w:r>
      <w:r w:rsidR="00E30289">
        <w:rPr>
          <w:rFonts w:ascii="Bookman Old Style" w:hAnsi="Bookman Old Style" w:cs="Tahoma"/>
          <w:bCs/>
          <w:i/>
          <w:iCs/>
          <w:sz w:val="28"/>
          <w:szCs w:val="28"/>
          <w:lang w:val="en-GB"/>
        </w:rPr>
        <w:t>meaning that service that facilitates export of goods as above)</w:t>
      </w:r>
      <w:r w:rsidR="004A1743">
        <w:rPr>
          <w:rFonts w:ascii="Bookman Old Style" w:hAnsi="Bookman Old Style" w:cs="Tahoma"/>
          <w:bCs/>
          <w:sz w:val="28"/>
          <w:szCs w:val="28"/>
          <w:lang w:val="en-GB"/>
        </w:rPr>
        <w:t>, is zero rated.  He argues that it appears that the learned Judge in the Court below, without expressly stating so,</w:t>
      </w:r>
      <w:r w:rsidR="005806B4">
        <w:rPr>
          <w:rFonts w:ascii="Bookman Old Style" w:hAnsi="Bookman Old Style" w:cs="Tahoma"/>
          <w:bCs/>
          <w:sz w:val="28"/>
          <w:szCs w:val="28"/>
          <w:lang w:val="en-GB"/>
        </w:rPr>
        <w:t xml:space="preserve"> impliedly assumed that the Appellant’s service fell under this </w:t>
      </w:r>
      <w:r w:rsidR="00276C1F">
        <w:rPr>
          <w:rFonts w:ascii="Bookman Old Style" w:hAnsi="Bookman Old Style" w:cs="Tahoma"/>
          <w:bCs/>
          <w:sz w:val="28"/>
          <w:szCs w:val="28"/>
          <w:lang w:val="en-GB"/>
        </w:rPr>
        <w:t>s</w:t>
      </w:r>
      <w:r w:rsidR="005806B4">
        <w:rPr>
          <w:rFonts w:ascii="Bookman Old Style" w:hAnsi="Bookman Old Style" w:cs="Tahoma"/>
          <w:bCs/>
          <w:sz w:val="28"/>
          <w:szCs w:val="28"/>
          <w:lang w:val="en-GB"/>
        </w:rPr>
        <w:t>ub paragraph</w:t>
      </w:r>
      <w:r w:rsidR="00276C1F">
        <w:rPr>
          <w:rFonts w:ascii="Bookman Old Style" w:hAnsi="Bookman Old Style" w:cs="Tahoma"/>
          <w:bCs/>
          <w:sz w:val="28"/>
          <w:szCs w:val="28"/>
          <w:lang w:val="en-GB"/>
        </w:rPr>
        <w:t xml:space="preserve"> (b)</w:t>
      </w:r>
      <w:r w:rsidR="005806B4">
        <w:rPr>
          <w:rFonts w:ascii="Bookman Old Style" w:hAnsi="Bookman Old Style" w:cs="Tahoma"/>
          <w:bCs/>
          <w:sz w:val="28"/>
          <w:szCs w:val="28"/>
          <w:lang w:val="en-GB"/>
        </w:rPr>
        <w:t>.   That had she considered the totality of the Appellant’s submissions on the law before her, as per pages 417-426 of this record of Appeal,</w:t>
      </w:r>
      <w:r w:rsidR="00FC6B61">
        <w:rPr>
          <w:rFonts w:ascii="Bookman Old Style" w:hAnsi="Bookman Old Style" w:cs="Tahoma"/>
          <w:bCs/>
          <w:sz w:val="28"/>
          <w:szCs w:val="28"/>
          <w:lang w:val="en-GB"/>
        </w:rPr>
        <w:t xml:space="preserve"> it </w:t>
      </w:r>
      <w:r w:rsidR="00FC6B61">
        <w:rPr>
          <w:rFonts w:ascii="Bookman Old Style" w:hAnsi="Bookman Old Style" w:cs="Tahoma"/>
          <w:bCs/>
          <w:sz w:val="28"/>
          <w:szCs w:val="28"/>
          <w:lang w:val="en-GB"/>
        </w:rPr>
        <w:lastRenderedPageBreak/>
        <w:t xml:space="preserve">would have been clear that the activity that forms the basis of the assessment and this </w:t>
      </w:r>
      <w:r w:rsidR="00F36378">
        <w:rPr>
          <w:rFonts w:ascii="Bookman Old Style" w:hAnsi="Bookman Old Style" w:cs="Tahoma"/>
          <w:bCs/>
          <w:sz w:val="28"/>
          <w:szCs w:val="28"/>
          <w:lang w:val="en-GB"/>
        </w:rPr>
        <w:t xml:space="preserve">appeal actually fell under 2 of the Schedule.  That it would have inevitably </w:t>
      </w:r>
      <w:r w:rsidR="00DF1523">
        <w:rPr>
          <w:rFonts w:ascii="Bookman Old Style" w:hAnsi="Bookman Old Style" w:cs="Tahoma"/>
          <w:bCs/>
          <w:sz w:val="28"/>
          <w:szCs w:val="28"/>
          <w:lang w:val="en-GB"/>
        </w:rPr>
        <w:t>led to a conclusion</w:t>
      </w:r>
      <w:r w:rsidR="004A1743">
        <w:rPr>
          <w:rFonts w:ascii="Bookman Old Style" w:hAnsi="Bookman Old Style" w:cs="Tahoma"/>
          <w:bCs/>
          <w:sz w:val="28"/>
          <w:szCs w:val="28"/>
          <w:lang w:val="en-GB"/>
        </w:rPr>
        <w:t xml:space="preserve"> </w:t>
      </w:r>
      <w:r w:rsidR="00EF4334">
        <w:rPr>
          <w:rFonts w:ascii="Bookman Old Style" w:hAnsi="Bookman Old Style" w:cs="Tahoma"/>
          <w:bCs/>
          <w:sz w:val="28"/>
          <w:szCs w:val="28"/>
          <w:lang w:val="en-GB"/>
        </w:rPr>
        <w:t>that there was no need for customs acquittal documents to be produced as a condition to prove zero rating and hence set aside the assessment.</w:t>
      </w:r>
      <w:r w:rsidR="001E7510">
        <w:rPr>
          <w:rFonts w:ascii="Bookman Old Style" w:hAnsi="Bookman Old Style" w:cs="Tahoma"/>
          <w:bCs/>
          <w:sz w:val="28"/>
          <w:szCs w:val="28"/>
          <w:lang w:val="en-GB"/>
        </w:rPr>
        <w:t xml:space="preserve">  He says that the third activity is the supply of transport services from or to Zambia, including transhipment and ancillary services that are directly linked to the transit of good through Zambia, to destinations outside Zambia.  That this</w:t>
      </w:r>
      <w:r w:rsidR="001135F9">
        <w:rPr>
          <w:rFonts w:ascii="Bookman Old Style" w:hAnsi="Bookman Old Style" w:cs="Tahoma"/>
          <w:bCs/>
          <w:sz w:val="28"/>
          <w:szCs w:val="28"/>
          <w:lang w:val="en-GB"/>
        </w:rPr>
        <w:t xml:space="preserve"> is a separate item on i</w:t>
      </w:r>
      <w:r w:rsidR="00276C1F">
        <w:rPr>
          <w:rFonts w:ascii="Bookman Old Style" w:hAnsi="Bookman Old Style" w:cs="Tahoma"/>
          <w:bCs/>
          <w:sz w:val="28"/>
          <w:szCs w:val="28"/>
          <w:lang w:val="en-GB"/>
        </w:rPr>
        <w:t>t</w:t>
      </w:r>
      <w:r w:rsidR="001135F9">
        <w:rPr>
          <w:rFonts w:ascii="Bookman Old Style" w:hAnsi="Bookman Old Style" w:cs="Tahoma"/>
          <w:bCs/>
          <w:sz w:val="28"/>
          <w:szCs w:val="28"/>
          <w:lang w:val="en-GB"/>
        </w:rPr>
        <w:t xml:space="preserve">s own and is catered for under </w:t>
      </w:r>
      <w:r w:rsidR="00276C1F">
        <w:rPr>
          <w:rFonts w:ascii="Bookman Old Style" w:hAnsi="Bookman Old Style" w:cs="Tahoma"/>
          <w:bCs/>
          <w:sz w:val="28"/>
          <w:szCs w:val="28"/>
          <w:lang w:val="en-GB"/>
        </w:rPr>
        <w:t>s</w:t>
      </w:r>
      <w:r w:rsidR="001135F9">
        <w:rPr>
          <w:rFonts w:ascii="Bookman Old Style" w:hAnsi="Bookman Old Style" w:cs="Tahoma"/>
          <w:bCs/>
          <w:sz w:val="28"/>
          <w:szCs w:val="28"/>
          <w:lang w:val="en-GB"/>
        </w:rPr>
        <w:t>ub-paragraph (c) of the schedule.</w:t>
      </w:r>
    </w:p>
    <w:p w:rsidR="001135F9" w:rsidRDefault="001135F9" w:rsidP="00CD5571">
      <w:pPr>
        <w:spacing w:line="360" w:lineRule="auto"/>
        <w:ind w:firstLine="720"/>
        <w:jc w:val="both"/>
        <w:rPr>
          <w:rFonts w:ascii="Bookman Old Style" w:hAnsi="Bookman Old Style" w:cs="Tahoma"/>
          <w:bCs/>
          <w:sz w:val="28"/>
          <w:szCs w:val="28"/>
          <w:lang w:val="en-GB"/>
        </w:rPr>
      </w:pPr>
    </w:p>
    <w:p w:rsidR="00BC5F8E" w:rsidRDefault="001135F9" w:rsidP="00CD557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He submits that the Appellant supplied the services that falls under (c).  That this provision does not have similar conditions as in Sub-paragraph (a), that for zero rating to be proved, there</w:t>
      </w:r>
      <w:r w:rsidR="00E81860">
        <w:rPr>
          <w:rFonts w:ascii="Bookman Old Style" w:hAnsi="Bookman Old Style" w:cs="Tahoma"/>
          <w:bCs/>
          <w:sz w:val="28"/>
          <w:szCs w:val="28"/>
          <w:lang w:val="en-GB"/>
        </w:rPr>
        <w:t xml:space="preserve"> must be such evidence as the </w:t>
      </w:r>
      <w:r w:rsidR="00E81860">
        <w:rPr>
          <w:rFonts w:ascii="Bookman Old Style" w:hAnsi="Bookman Old Style" w:cs="Tahoma"/>
          <w:bCs/>
          <w:i/>
          <w:sz w:val="28"/>
          <w:szCs w:val="28"/>
          <w:lang w:val="en-GB"/>
        </w:rPr>
        <w:t>“Commissioner-General may by administrative rule re</w:t>
      </w:r>
      <w:r w:rsidR="001F0FCB">
        <w:rPr>
          <w:rFonts w:ascii="Bookman Old Style" w:hAnsi="Bookman Old Style" w:cs="Tahoma"/>
          <w:bCs/>
          <w:i/>
          <w:sz w:val="28"/>
          <w:szCs w:val="28"/>
          <w:lang w:val="en-GB"/>
        </w:rPr>
        <w:t>quire”.</w:t>
      </w:r>
      <w:r w:rsidR="001F0FCB">
        <w:rPr>
          <w:rFonts w:ascii="Bookman Old Style" w:hAnsi="Bookman Old Style" w:cs="Tahoma"/>
          <w:bCs/>
          <w:sz w:val="28"/>
          <w:szCs w:val="28"/>
          <w:lang w:val="en-GB"/>
        </w:rPr>
        <w:t xml:space="preserve">   That, therefore, the Appellant’s burden of proof should be considered in the context of</w:t>
      </w:r>
      <w:r w:rsidR="00235E48">
        <w:rPr>
          <w:rFonts w:ascii="Bookman Old Style" w:hAnsi="Bookman Old Style" w:cs="Tahoma"/>
          <w:bCs/>
          <w:sz w:val="28"/>
          <w:szCs w:val="28"/>
          <w:lang w:val="en-GB"/>
        </w:rPr>
        <w:t xml:space="preserve"> paragraph 2 (c)</w:t>
      </w:r>
      <w:r w:rsidR="00EA00DB">
        <w:rPr>
          <w:rFonts w:ascii="Bookman Old Style" w:hAnsi="Bookman Old Style" w:cs="Tahoma"/>
          <w:bCs/>
          <w:sz w:val="28"/>
          <w:szCs w:val="28"/>
          <w:lang w:val="en-GB"/>
        </w:rPr>
        <w:t xml:space="preserve"> of </w:t>
      </w:r>
      <w:r w:rsidR="000B36D2">
        <w:rPr>
          <w:rFonts w:ascii="Bookman Old Style" w:hAnsi="Bookman Old Style" w:cs="Tahoma"/>
          <w:bCs/>
          <w:sz w:val="28"/>
          <w:szCs w:val="28"/>
          <w:lang w:val="en-GB"/>
        </w:rPr>
        <w:t>the schedule.  He submits that the second schedule, including the paragraphs thereunder, are part of the Act and would be treated as if they were Sections of the Act.</w:t>
      </w:r>
    </w:p>
    <w:p w:rsidR="00BC5F8E" w:rsidRDefault="00BC5F8E" w:rsidP="00CD5571">
      <w:pPr>
        <w:spacing w:line="360" w:lineRule="auto"/>
        <w:ind w:firstLine="720"/>
        <w:jc w:val="both"/>
        <w:rPr>
          <w:rFonts w:ascii="Bookman Old Style" w:hAnsi="Bookman Old Style" w:cs="Tahoma"/>
          <w:bCs/>
          <w:sz w:val="28"/>
          <w:szCs w:val="28"/>
          <w:lang w:val="en-GB"/>
        </w:rPr>
      </w:pPr>
    </w:p>
    <w:p w:rsidR="00A571E7" w:rsidRDefault="00BC5F8E" w:rsidP="00CD557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He submits that the assessment, which</w:t>
      </w:r>
      <w:r w:rsidR="001D41BA">
        <w:rPr>
          <w:rFonts w:ascii="Bookman Old Style" w:hAnsi="Bookman Old Style" w:cs="Tahoma"/>
          <w:bCs/>
          <w:sz w:val="28"/>
          <w:szCs w:val="28"/>
          <w:lang w:val="en-GB"/>
        </w:rPr>
        <w:t xml:space="preserve"> is the subject of this appeal, is not related to exports made by the Appellant.  So, unlike sub-paragraph (a), the burden of proof placed on the Appellant</w:t>
      </w:r>
      <w:r w:rsidR="00F16716">
        <w:rPr>
          <w:rFonts w:ascii="Bookman Old Style" w:hAnsi="Bookman Old Style" w:cs="Tahoma"/>
          <w:bCs/>
          <w:sz w:val="28"/>
          <w:szCs w:val="28"/>
          <w:lang w:val="en-GB"/>
        </w:rPr>
        <w:t xml:space="preserve"> should not be viewed in the context of the requirements under Rule 18 (1) of the Gazette Notice.</w:t>
      </w:r>
      <w:r w:rsidR="00A571E7">
        <w:rPr>
          <w:rFonts w:ascii="Bookman Old Style" w:hAnsi="Bookman Old Style" w:cs="Tahoma"/>
          <w:bCs/>
          <w:sz w:val="28"/>
          <w:szCs w:val="28"/>
          <w:lang w:val="en-GB"/>
        </w:rPr>
        <w:t xml:space="preserve">  These requirements are as follows:-</w:t>
      </w:r>
    </w:p>
    <w:p w:rsidR="00BE518F" w:rsidRDefault="00BE518F" w:rsidP="00BE518F">
      <w:pPr>
        <w:spacing w:line="360" w:lineRule="auto"/>
        <w:ind w:firstLine="720"/>
        <w:jc w:val="both"/>
        <w:rPr>
          <w:rFonts w:ascii="Arial Rounded MT Bold" w:hAnsi="Arial Rounded MT Bold" w:cs="Tahoma"/>
          <w:b/>
          <w:lang w:val="en-GB"/>
        </w:rPr>
      </w:pPr>
      <w:r w:rsidRPr="00BE518F">
        <w:rPr>
          <w:rFonts w:ascii="Bookman Old Style" w:hAnsi="Bookman Old Style" w:cs="Tahoma"/>
          <w:b/>
          <w:lang w:val="en-GB"/>
        </w:rPr>
        <w:t>“</w:t>
      </w:r>
      <w:r>
        <w:rPr>
          <w:rFonts w:ascii="Bookman Old Style" w:hAnsi="Bookman Old Style" w:cs="Tahoma"/>
          <w:b/>
          <w:sz w:val="28"/>
          <w:szCs w:val="28"/>
          <w:lang w:val="en-GB"/>
        </w:rPr>
        <w:t>(a)</w:t>
      </w:r>
      <w:r>
        <w:rPr>
          <w:rFonts w:ascii="Bookman Old Style" w:hAnsi="Bookman Old Style" w:cs="Tahoma"/>
          <w:b/>
          <w:sz w:val="28"/>
          <w:szCs w:val="28"/>
          <w:lang w:val="en-GB"/>
        </w:rPr>
        <w:tab/>
      </w:r>
      <w:r w:rsidR="00A571E7">
        <w:rPr>
          <w:rFonts w:ascii="Arial Rounded MT Bold" w:hAnsi="Arial Rounded MT Bold" w:cs="Tahoma"/>
          <w:b/>
          <w:lang w:val="en-GB"/>
        </w:rPr>
        <w:t xml:space="preserve">Copies of documents for goods, bearing a certificate of </w:t>
      </w:r>
    </w:p>
    <w:p w:rsidR="00A571E7" w:rsidRDefault="00A571E7" w:rsidP="00BE518F">
      <w:pPr>
        <w:spacing w:line="360" w:lineRule="auto"/>
        <w:ind w:left="720" w:firstLine="720"/>
        <w:jc w:val="both"/>
        <w:rPr>
          <w:rFonts w:ascii="Arial Rounded MT Bold" w:hAnsi="Arial Rounded MT Bold" w:cs="Tahoma"/>
          <w:b/>
          <w:lang w:val="en-GB"/>
        </w:rPr>
      </w:pPr>
      <w:r>
        <w:rPr>
          <w:rFonts w:ascii="Arial Rounded MT Bold" w:hAnsi="Arial Rounded MT Bold" w:cs="Tahoma"/>
          <w:b/>
          <w:lang w:val="en-GB"/>
        </w:rPr>
        <w:lastRenderedPageBreak/>
        <w:t>shipment provided by the authority.</w:t>
      </w:r>
    </w:p>
    <w:p w:rsidR="00BE518F" w:rsidRDefault="00BE518F" w:rsidP="00BE518F">
      <w:pPr>
        <w:spacing w:line="360" w:lineRule="auto"/>
        <w:jc w:val="both"/>
        <w:rPr>
          <w:rFonts w:ascii="Arial Rounded MT Bold" w:hAnsi="Arial Rounded MT Bold" w:cs="Tahoma"/>
          <w:b/>
          <w:lang w:val="en-GB"/>
        </w:rPr>
      </w:pPr>
      <w:r>
        <w:rPr>
          <w:rFonts w:ascii="Arial Rounded MT Bold" w:hAnsi="Arial Rounded MT Bold" w:cs="Tahoma"/>
          <w:b/>
          <w:lang w:val="en-GB"/>
        </w:rPr>
        <w:tab/>
        <w:t xml:space="preserve"> (b)</w:t>
      </w:r>
      <w:r>
        <w:rPr>
          <w:rFonts w:ascii="Arial Rounded MT Bold" w:hAnsi="Arial Rounded MT Bold" w:cs="Tahoma"/>
          <w:b/>
          <w:lang w:val="en-GB"/>
        </w:rPr>
        <w:tab/>
        <w:t>C</w:t>
      </w:r>
      <w:r w:rsidR="00A571E7">
        <w:rPr>
          <w:rFonts w:ascii="Arial Rounded MT Bold" w:hAnsi="Arial Rounded MT Bold" w:cs="Tahoma"/>
          <w:b/>
          <w:lang w:val="en-GB"/>
        </w:rPr>
        <w:t>opies of import documents for goods, bearing a certi</w:t>
      </w:r>
      <w:r>
        <w:rPr>
          <w:rFonts w:ascii="Arial Rounded MT Bold" w:hAnsi="Arial Rounded MT Bold" w:cs="Tahoma"/>
          <w:b/>
          <w:lang w:val="en-GB"/>
        </w:rPr>
        <w:t>-</w:t>
      </w:r>
    </w:p>
    <w:p w:rsidR="00BE518F" w:rsidRDefault="00A571E7" w:rsidP="00BE518F">
      <w:pPr>
        <w:spacing w:line="360" w:lineRule="auto"/>
        <w:ind w:left="720" w:firstLine="720"/>
        <w:jc w:val="both"/>
        <w:rPr>
          <w:rFonts w:ascii="Arial Rounded MT Bold" w:hAnsi="Arial Rounded MT Bold" w:cs="Tahoma"/>
          <w:b/>
          <w:lang w:val="en-GB"/>
        </w:rPr>
      </w:pPr>
      <w:r>
        <w:rPr>
          <w:rFonts w:ascii="Arial Rounded MT Bold" w:hAnsi="Arial Rounded MT Bold" w:cs="Tahoma"/>
          <w:b/>
          <w:lang w:val="en-GB"/>
        </w:rPr>
        <w:t>ficate</w:t>
      </w:r>
      <w:r w:rsidR="001E1686">
        <w:rPr>
          <w:rFonts w:ascii="Arial Rounded MT Bold" w:hAnsi="Arial Rounded MT Bold" w:cs="Tahoma"/>
          <w:b/>
          <w:lang w:val="en-GB"/>
        </w:rPr>
        <w:t xml:space="preserve"> of importation into the country of destination provided</w:t>
      </w:r>
    </w:p>
    <w:p w:rsidR="00A571E7" w:rsidRDefault="001E1686" w:rsidP="00BE518F">
      <w:pPr>
        <w:spacing w:line="360" w:lineRule="auto"/>
        <w:ind w:left="720" w:firstLine="720"/>
        <w:jc w:val="both"/>
        <w:rPr>
          <w:rFonts w:ascii="Arial Rounded MT Bold" w:hAnsi="Arial Rounded MT Bold" w:cs="Tahoma"/>
          <w:b/>
          <w:lang w:val="en-GB"/>
        </w:rPr>
      </w:pPr>
      <w:r>
        <w:rPr>
          <w:rFonts w:ascii="Arial Rounded MT Bold" w:hAnsi="Arial Rounded MT Bold" w:cs="Tahoma"/>
          <w:b/>
          <w:lang w:val="en-GB"/>
        </w:rPr>
        <w:t>by the authority of the country.</w:t>
      </w:r>
    </w:p>
    <w:p w:rsidR="001E1686" w:rsidRDefault="00BE518F" w:rsidP="00BE518F">
      <w:pPr>
        <w:spacing w:line="360" w:lineRule="auto"/>
        <w:jc w:val="both"/>
        <w:rPr>
          <w:rFonts w:ascii="Arial Rounded MT Bold" w:hAnsi="Arial Rounded MT Bold" w:cs="Tahoma"/>
          <w:b/>
          <w:lang w:val="en-GB"/>
        </w:rPr>
      </w:pPr>
      <w:r>
        <w:rPr>
          <w:rFonts w:ascii="Arial Rounded MT Bold" w:hAnsi="Arial Rounded MT Bold" w:cs="Tahoma"/>
          <w:b/>
          <w:lang w:val="en-GB"/>
        </w:rPr>
        <w:tab/>
        <w:t xml:space="preserve">  (c)</w:t>
      </w:r>
      <w:r>
        <w:rPr>
          <w:rFonts w:ascii="Arial Rounded MT Bold" w:hAnsi="Arial Rounded MT Bold" w:cs="Tahoma"/>
          <w:b/>
          <w:lang w:val="en-GB"/>
        </w:rPr>
        <w:tab/>
        <w:t>Pro</w:t>
      </w:r>
      <w:r w:rsidR="001E1686">
        <w:rPr>
          <w:rFonts w:ascii="Arial Rounded MT Bold" w:hAnsi="Arial Rounded MT Bold" w:cs="Tahoma"/>
          <w:b/>
          <w:lang w:val="en-GB"/>
        </w:rPr>
        <w:t>of of payment by the customer for the goods.</w:t>
      </w:r>
    </w:p>
    <w:p w:rsidR="00BE518F" w:rsidRDefault="00BE518F" w:rsidP="00BE518F">
      <w:pPr>
        <w:spacing w:line="360" w:lineRule="auto"/>
        <w:jc w:val="both"/>
        <w:rPr>
          <w:rFonts w:ascii="Arial Rounded MT Bold" w:hAnsi="Arial Rounded MT Bold" w:cs="Tahoma"/>
          <w:b/>
          <w:lang w:val="en-GB"/>
        </w:rPr>
      </w:pPr>
      <w:r>
        <w:rPr>
          <w:rFonts w:ascii="Arial Rounded MT Bold" w:hAnsi="Arial Rounded MT Bold" w:cs="Tahoma"/>
          <w:b/>
          <w:lang w:val="en-GB"/>
        </w:rPr>
        <w:tab/>
        <w:t xml:space="preserve">  (d)</w:t>
      </w:r>
      <w:r>
        <w:rPr>
          <w:rFonts w:ascii="Arial Rounded MT Bold" w:hAnsi="Arial Rounded MT Bold" w:cs="Tahoma"/>
          <w:b/>
          <w:lang w:val="en-GB"/>
        </w:rPr>
        <w:tab/>
        <w:t>S</w:t>
      </w:r>
      <w:r w:rsidR="001E1686">
        <w:rPr>
          <w:rFonts w:ascii="Arial Rounded MT Bold" w:hAnsi="Arial Rounded MT Bold" w:cs="Tahoma"/>
          <w:b/>
          <w:lang w:val="en-GB"/>
        </w:rPr>
        <w:t xml:space="preserve">uch other documentary evidence as the </w:t>
      </w:r>
      <w:r w:rsidR="00943535">
        <w:rPr>
          <w:rFonts w:ascii="Arial Rounded MT Bold" w:hAnsi="Arial Rounded MT Bold" w:cs="Tahoma"/>
          <w:b/>
          <w:lang w:val="en-GB"/>
        </w:rPr>
        <w:t xml:space="preserve">authorised </w:t>
      </w:r>
    </w:p>
    <w:p w:rsidR="001E1686" w:rsidRPr="00943535" w:rsidRDefault="00943535" w:rsidP="00BE518F">
      <w:pPr>
        <w:spacing w:line="360" w:lineRule="auto"/>
        <w:ind w:left="720" w:firstLine="720"/>
        <w:jc w:val="both"/>
        <w:rPr>
          <w:rFonts w:ascii="Bookman Old Style" w:hAnsi="Bookman Old Style" w:cs="Tahoma"/>
          <w:b/>
          <w:sz w:val="28"/>
          <w:szCs w:val="28"/>
          <w:lang w:val="en-GB"/>
        </w:rPr>
      </w:pPr>
      <w:r>
        <w:rPr>
          <w:rFonts w:ascii="Arial Rounded MT Bold" w:hAnsi="Arial Rounded MT Bold" w:cs="Tahoma"/>
          <w:b/>
          <w:lang w:val="en-GB"/>
        </w:rPr>
        <w:t>officer may reasonably require.</w:t>
      </w:r>
      <w:r w:rsidR="00BE518F">
        <w:rPr>
          <w:rFonts w:ascii="Arial Rounded MT Bold" w:hAnsi="Arial Rounded MT Bold" w:cs="Tahoma"/>
          <w:b/>
          <w:lang w:val="en-GB"/>
        </w:rPr>
        <w:t>”</w:t>
      </w:r>
    </w:p>
    <w:p w:rsidR="00943535" w:rsidRDefault="00943535" w:rsidP="00943535">
      <w:pPr>
        <w:spacing w:line="360" w:lineRule="auto"/>
        <w:jc w:val="both"/>
        <w:rPr>
          <w:rFonts w:ascii="Bookman Old Style" w:hAnsi="Bookman Old Style" w:cs="Tahoma"/>
          <w:sz w:val="28"/>
          <w:szCs w:val="28"/>
          <w:lang w:val="en-GB"/>
        </w:rPr>
      </w:pPr>
    </w:p>
    <w:p w:rsidR="007E5CBF" w:rsidRDefault="00943535" w:rsidP="00943535">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He argues that the learned Judge in the Court below did not consider this particular issue,</w:t>
      </w:r>
      <w:r w:rsidR="00F33F71">
        <w:rPr>
          <w:rFonts w:ascii="Bookman Old Style" w:hAnsi="Bookman Old Style" w:cs="Tahoma"/>
          <w:sz w:val="28"/>
          <w:szCs w:val="28"/>
          <w:lang w:val="en-GB"/>
        </w:rPr>
        <w:t xml:space="preserve"> notwithstanding that it was argued</w:t>
      </w:r>
      <w:r w:rsidR="007E5CBF">
        <w:rPr>
          <w:rFonts w:ascii="Bookman Old Style" w:hAnsi="Bookman Old Style" w:cs="Tahoma"/>
          <w:sz w:val="28"/>
          <w:szCs w:val="28"/>
          <w:lang w:val="en-GB"/>
        </w:rPr>
        <w:t xml:space="preserve"> before her.  On this alleged misdirection, he refers us to </w:t>
      </w:r>
      <w:r w:rsidR="007E5CBF">
        <w:rPr>
          <w:rFonts w:ascii="Bookman Old Style" w:hAnsi="Bookman Old Style" w:cs="Tahoma"/>
          <w:b/>
          <w:sz w:val="28"/>
          <w:szCs w:val="28"/>
          <w:u w:val="single"/>
          <w:lang w:val="en-GB"/>
        </w:rPr>
        <w:t>Zulu v Avondale Housing Project Limited</w:t>
      </w:r>
      <w:r w:rsidR="007E5CBF">
        <w:rPr>
          <w:rFonts w:ascii="Bookman Old Style" w:hAnsi="Bookman Old Style" w:cs="Tahoma"/>
          <w:b/>
          <w:sz w:val="28"/>
          <w:szCs w:val="28"/>
          <w:lang w:val="en-GB"/>
        </w:rPr>
        <w:t xml:space="preserve"> (3),</w:t>
      </w:r>
      <w:r w:rsidR="007E5CBF">
        <w:rPr>
          <w:rFonts w:ascii="Bookman Old Style" w:hAnsi="Bookman Old Style" w:cs="Tahoma"/>
          <w:sz w:val="28"/>
          <w:szCs w:val="28"/>
          <w:lang w:val="en-GB"/>
        </w:rPr>
        <w:t xml:space="preserve"> which holds that:-</w:t>
      </w:r>
    </w:p>
    <w:p w:rsidR="007E5CBF" w:rsidRDefault="007E5CBF" w:rsidP="00943535">
      <w:pPr>
        <w:pStyle w:val="ListParagraph"/>
        <w:spacing w:line="360" w:lineRule="auto"/>
        <w:ind w:left="1094" w:right="864"/>
        <w:jc w:val="both"/>
        <w:rPr>
          <w:rFonts w:ascii="Arial Rounded MT Bold" w:hAnsi="Arial Rounded MT Bold" w:cs="Tahoma"/>
          <w:b/>
          <w:lang w:val="en-GB"/>
        </w:rPr>
      </w:pPr>
      <w:r>
        <w:rPr>
          <w:rFonts w:ascii="Arial Rounded MT Bold" w:hAnsi="Arial Rounded MT Bold" w:cs="Tahoma"/>
          <w:b/>
          <w:lang w:val="en-GB"/>
        </w:rPr>
        <w:t>“the</w:t>
      </w:r>
      <w:r w:rsidR="006807C2">
        <w:rPr>
          <w:rFonts w:ascii="Arial Rounded MT Bold" w:hAnsi="Arial Rounded MT Bold" w:cs="Tahoma"/>
          <w:b/>
          <w:lang w:val="en-GB"/>
        </w:rPr>
        <w:t xml:space="preserve"> </w:t>
      </w:r>
      <w:r>
        <w:rPr>
          <w:rFonts w:ascii="Arial Rounded MT Bold" w:hAnsi="Arial Rounded MT Bold" w:cs="Tahoma"/>
          <w:b/>
          <w:lang w:val="en-GB"/>
        </w:rPr>
        <w:t>trial  Court has a duty to adjudicate upon every aspect of the suit between the parties so that every matter in controversy is determined in finality.”</w:t>
      </w:r>
    </w:p>
    <w:p w:rsidR="007E5CBF" w:rsidRDefault="007E5CBF" w:rsidP="000B7F0B">
      <w:pPr>
        <w:spacing w:line="360" w:lineRule="auto"/>
        <w:jc w:val="both"/>
        <w:rPr>
          <w:rFonts w:ascii="Bookman Old Style" w:hAnsi="Bookman Old Style" w:cs="Tahoma"/>
          <w:sz w:val="28"/>
          <w:szCs w:val="28"/>
          <w:lang w:val="en-GB"/>
        </w:rPr>
      </w:pPr>
    </w:p>
    <w:p w:rsidR="000B7F0B" w:rsidRPr="007C04B7" w:rsidRDefault="000B7F0B" w:rsidP="000B7F0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He points out that Rule 18 (1) applies to </w:t>
      </w:r>
      <w:r>
        <w:rPr>
          <w:rFonts w:ascii="Bookman Old Style" w:hAnsi="Bookman Old Style" w:cs="Tahoma"/>
          <w:i/>
          <w:sz w:val="28"/>
          <w:szCs w:val="28"/>
          <w:lang w:val="en-GB"/>
        </w:rPr>
        <w:t>“exports”</w:t>
      </w:r>
      <w:r>
        <w:rPr>
          <w:rFonts w:ascii="Bookman Old Style" w:hAnsi="Bookman Old Style" w:cs="Tahoma"/>
          <w:sz w:val="28"/>
          <w:szCs w:val="28"/>
          <w:lang w:val="en-GB"/>
        </w:rPr>
        <w:t xml:space="preserve"> under paragraph 2 (a) of the second schedule.  But that Rule 18 (2), on the other hand, is specifically designed to cover transport service linked to </w:t>
      </w:r>
      <w:r w:rsidR="007C04B7">
        <w:rPr>
          <w:rFonts w:ascii="Bookman Old Style" w:hAnsi="Bookman Old Style" w:cs="Tahoma"/>
          <w:i/>
          <w:sz w:val="28"/>
          <w:szCs w:val="28"/>
          <w:lang w:val="en-GB"/>
        </w:rPr>
        <w:t>“exports”.</w:t>
      </w:r>
      <w:r w:rsidR="007C04B7">
        <w:rPr>
          <w:rFonts w:ascii="Bookman Old Style" w:hAnsi="Bookman Old Style" w:cs="Tahoma"/>
          <w:sz w:val="28"/>
          <w:szCs w:val="28"/>
          <w:lang w:val="en-GB"/>
        </w:rPr>
        <w:t xml:space="preserve">   Rule 18 (2) provides as follows:-</w:t>
      </w:r>
    </w:p>
    <w:p w:rsidR="007C04B7" w:rsidRDefault="007C04B7" w:rsidP="00943535">
      <w:pPr>
        <w:pStyle w:val="ListParagraph"/>
        <w:spacing w:line="360" w:lineRule="auto"/>
        <w:ind w:left="1094" w:right="864"/>
        <w:jc w:val="both"/>
        <w:rPr>
          <w:rFonts w:ascii="Arial Rounded MT Bold" w:hAnsi="Arial Rounded MT Bold" w:cs="Tahoma"/>
          <w:b/>
          <w:lang w:val="en-GB"/>
        </w:rPr>
      </w:pPr>
      <w:r>
        <w:rPr>
          <w:rFonts w:ascii="Arial Rounded MT Bold" w:hAnsi="Arial Rounded MT Bold" w:cs="Tahoma"/>
          <w:b/>
          <w:lang w:val="en-GB"/>
        </w:rPr>
        <w:t>“Unless the Commissioner General shall otherwise allow, a taxable supplier claiming that a supply is zero rated under the schedule the Act on the grounds that the supply is directly linked to exportation of goods from Zambia, shall produce to an authorised officer :-</w:t>
      </w:r>
    </w:p>
    <w:p w:rsidR="006C5966" w:rsidRDefault="007C04B7" w:rsidP="007C04B7">
      <w:pPr>
        <w:pStyle w:val="ListParagraph"/>
        <w:numPr>
          <w:ilvl w:val="0"/>
          <w:numId w:val="14"/>
        </w:numPr>
        <w:spacing w:line="360" w:lineRule="auto"/>
        <w:ind w:right="864"/>
        <w:jc w:val="both"/>
        <w:rPr>
          <w:rFonts w:ascii="Arial Rounded MT Bold" w:hAnsi="Arial Rounded MT Bold" w:cs="Tahoma"/>
          <w:b/>
          <w:lang w:val="en-GB"/>
        </w:rPr>
      </w:pPr>
      <w:r>
        <w:rPr>
          <w:rFonts w:ascii="Arial Rounded MT Bold" w:hAnsi="Arial Rounded MT Bold" w:cs="Tahoma"/>
          <w:b/>
          <w:lang w:val="en-GB"/>
        </w:rPr>
        <w:t>The copies referred to paragraph (a) and (b) of Sub-Rule (1) concerned (</w:t>
      </w:r>
      <w:r>
        <w:rPr>
          <w:rFonts w:ascii="Arial Rounded MT Bold" w:hAnsi="Arial Rounded MT Bold" w:cs="Tahoma"/>
          <w:b/>
          <w:i/>
          <w:lang w:val="en-GB"/>
        </w:rPr>
        <w:t>the same documents under Rule 18 (1),</w:t>
      </w:r>
      <w:r>
        <w:rPr>
          <w:rFonts w:ascii="Arial Rounded MT Bold" w:hAnsi="Arial Rounded MT Bold" w:cs="Tahoma"/>
          <w:b/>
          <w:lang w:val="en-GB"/>
        </w:rPr>
        <w:t xml:space="preserve"> which deals with export paragraph 2 (a) of the schedule.</w:t>
      </w:r>
    </w:p>
    <w:p w:rsidR="006C5966" w:rsidRDefault="006C5966" w:rsidP="007C04B7">
      <w:pPr>
        <w:pStyle w:val="ListParagraph"/>
        <w:numPr>
          <w:ilvl w:val="0"/>
          <w:numId w:val="14"/>
        </w:numPr>
        <w:spacing w:line="360" w:lineRule="auto"/>
        <w:ind w:right="864"/>
        <w:jc w:val="both"/>
        <w:rPr>
          <w:rFonts w:ascii="Arial Rounded MT Bold" w:hAnsi="Arial Rounded MT Bold" w:cs="Tahoma"/>
          <w:b/>
          <w:lang w:val="en-GB"/>
        </w:rPr>
      </w:pPr>
      <w:r>
        <w:rPr>
          <w:rFonts w:ascii="Arial Rounded MT Bold" w:hAnsi="Arial Rounded MT Bold" w:cs="Tahoma"/>
          <w:b/>
          <w:lang w:val="en-GB"/>
        </w:rPr>
        <w:t>Proof of payment by the customer for the goods and services concerned; and</w:t>
      </w:r>
    </w:p>
    <w:p w:rsidR="006C5966" w:rsidRDefault="006C5966" w:rsidP="007C04B7">
      <w:pPr>
        <w:pStyle w:val="ListParagraph"/>
        <w:numPr>
          <w:ilvl w:val="0"/>
          <w:numId w:val="14"/>
        </w:numPr>
        <w:spacing w:line="360" w:lineRule="auto"/>
        <w:ind w:right="864"/>
        <w:jc w:val="both"/>
        <w:rPr>
          <w:rFonts w:ascii="Arial Rounded MT Bold" w:hAnsi="Arial Rounded MT Bold" w:cs="Tahoma"/>
          <w:b/>
          <w:lang w:val="en-GB"/>
        </w:rPr>
      </w:pPr>
      <w:r>
        <w:rPr>
          <w:rFonts w:ascii="Arial Rounded MT Bold" w:hAnsi="Arial Rounded MT Bold" w:cs="Tahoma"/>
          <w:b/>
          <w:lang w:val="en-GB"/>
        </w:rPr>
        <w:lastRenderedPageBreak/>
        <w:t>Such other documentary evidence as the authorised officer may reasonably require; and</w:t>
      </w:r>
    </w:p>
    <w:p w:rsidR="00B36E79" w:rsidRDefault="006C5966" w:rsidP="007C04B7">
      <w:pPr>
        <w:pStyle w:val="ListParagraph"/>
        <w:numPr>
          <w:ilvl w:val="0"/>
          <w:numId w:val="14"/>
        </w:numPr>
        <w:spacing w:line="360" w:lineRule="auto"/>
        <w:ind w:right="864"/>
        <w:jc w:val="both"/>
        <w:rPr>
          <w:rFonts w:ascii="Arial Rounded MT Bold" w:hAnsi="Arial Rounded MT Bold" w:cs="Tahoma"/>
          <w:b/>
          <w:lang w:val="en-GB"/>
        </w:rPr>
      </w:pPr>
      <w:r>
        <w:rPr>
          <w:rFonts w:ascii="Arial Rounded MT Bold" w:hAnsi="Arial Rounded MT Bold" w:cs="Tahoma"/>
          <w:b/>
          <w:lang w:val="en-GB"/>
        </w:rPr>
        <w:t>If so required by an authorised officer, copies of import documents for the goods bearing a certificate of importation into the country of destination provided by the customs authority of that country.”</w:t>
      </w:r>
    </w:p>
    <w:p w:rsidR="00B36E79" w:rsidRDefault="00B36E79" w:rsidP="00B36E79">
      <w:pPr>
        <w:spacing w:line="360" w:lineRule="auto"/>
        <w:jc w:val="both"/>
        <w:rPr>
          <w:rFonts w:ascii="Bookman Old Style" w:hAnsi="Bookman Old Style" w:cs="Tahoma"/>
          <w:sz w:val="28"/>
          <w:szCs w:val="28"/>
          <w:lang w:val="en-GB"/>
        </w:rPr>
      </w:pPr>
    </w:p>
    <w:p w:rsidR="00BE518F" w:rsidRDefault="00B36E79" w:rsidP="00BE518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He submits that the combined effect of Rule 18 (1) and Rule 18 (2) is that for activities in sub-paragraph (a) and sub-paragraph (b) of the second schedule to be zero rated, certain documents</w:t>
      </w:r>
      <w:r w:rsidR="0072313F">
        <w:rPr>
          <w:rFonts w:ascii="Bookman Old Style" w:hAnsi="Bookman Old Style" w:cs="Tahoma"/>
          <w:sz w:val="28"/>
          <w:szCs w:val="28"/>
          <w:lang w:val="en-GB"/>
        </w:rPr>
        <w:t xml:space="preserve"> must be made available to the Respondent.  He further submits that for the activities that fall under sub paragraph (c), there is no corresponding</w:t>
      </w:r>
      <w:r w:rsidR="00D04CE5">
        <w:rPr>
          <w:rFonts w:ascii="Bookman Old Style" w:hAnsi="Bookman Old Style" w:cs="Tahoma"/>
          <w:sz w:val="28"/>
          <w:szCs w:val="28"/>
          <w:lang w:val="en-GB"/>
        </w:rPr>
        <w:t xml:space="preserve"> requirement to provide that documentation.  </w:t>
      </w:r>
    </w:p>
    <w:p w:rsidR="00BE518F" w:rsidRDefault="00BE518F" w:rsidP="00BE518F">
      <w:pPr>
        <w:spacing w:line="360" w:lineRule="auto"/>
        <w:ind w:firstLine="720"/>
        <w:jc w:val="both"/>
        <w:rPr>
          <w:rFonts w:ascii="Bookman Old Style" w:hAnsi="Bookman Old Style" w:cs="Tahoma"/>
          <w:sz w:val="28"/>
          <w:szCs w:val="28"/>
          <w:lang w:val="en-GB"/>
        </w:rPr>
      </w:pPr>
    </w:p>
    <w:p w:rsidR="007C04B7" w:rsidRDefault="00D04CE5" w:rsidP="00BE518F">
      <w:pPr>
        <w:spacing w:line="360" w:lineRule="auto"/>
        <w:ind w:firstLine="720"/>
        <w:jc w:val="both"/>
        <w:rPr>
          <w:rFonts w:ascii="Arial Rounded MT Bold" w:hAnsi="Arial Rounded MT Bold" w:cs="Tahoma"/>
          <w:b/>
          <w:lang w:val="en-GB"/>
        </w:rPr>
      </w:pPr>
      <w:r>
        <w:rPr>
          <w:rFonts w:ascii="Bookman Old Style" w:hAnsi="Bookman Old Style" w:cs="Tahoma"/>
          <w:sz w:val="28"/>
          <w:szCs w:val="28"/>
          <w:lang w:val="en-GB"/>
        </w:rPr>
        <w:t>Coming back to this case, he submits that the activity that the Appellant carried out was freight of goods in transit, that fall under paragraph 2 (c) of the second schedule.  That this particular paragraph does not</w:t>
      </w:r>
      <w:r w:rsidR="00193A84">
        <w:rPr>
          <w:rFonts w:ascii="Bookman Old Style" w:hAnsi="Bookman Old Style" w:cs="Tahoma"/>
          <w:sz w:val="28"/>
          <w:szCs w:val="28"/>
          <w:lang w:val="en-GB"/>
        </w:rPr>
        <w:t xml:space="preserve"> place an obligation on the Appellant to provide documents.   That in delving into the issue whether the Appellant had produced acquittal documents, the learned Judge implicitly accepted a wrong position that </w:t>
      </w:r>
      <w:r w:rsidR="004B5637">
        <w:rPr>
          <w:rFonts w:ascii="Bookman Old Style" w:hAnsi="Bookman Old Style" w:cs="Tahoma"/>
          <w:sz w:val="28"/>
          <w:szCs w:val="28"/>
          <w:lang w:val="en-GB"/>
        </w:rPr>
        <w:t xml:space="preserve">the Appellant was obliged to provide such documentation, without considering whether there was an obligation to provide that documentation.  That the second schedule </w:t>
      </w:r>
      <w:r w:rsidR="006046DC">
        <w:rPr>
          <w:rFonts w:ascii="Bookman Old Style" w:hAnsi="Bookman Old Style" w:cs="Tahoma"/>
          <w:sz w:val="28"/>
          <w:szCs w:val="28"/>
          <w:lang w:val="en-GB"/>
        </w:rPr>
        <w:t>and Gazette Notice do not create an obligation to produce the documents which the learned Judge thought should be produced and examined at the re-hearin</w:t>
      </w:r>
      <w:r w:rsidR="0011367E">
        <w:rPr>
          <w:rFonts w:ascii="Bookman Old Style" w:hAnsi="Bookman Old Style" w:cs="Tahoma"/>
          <w:sz w:val="28"/>
          <w:szCs w:val="28"/>
          <w:lang w:val="en-GB"/>
        </w:rPr>
        <w:t xml:space="preserve">g of the matter before the </w:t>
      </w:r>
      <w:r w:rsidR="00C31BCD">
        <w:rPr>
          <w:rFonts w:ascii="Bookman Old Style" w:hAnsi="Bookman Old Style" w:cs="Tahoma"/>
          <w:sz w:val="28"/>
          <w:szCs w:val="28"/>
          <w:lang w:val="en-GB"/>
        </w:rPr>
        <w:t xml:space="preserve">Revenue Appeal Tribunal.  That the position taken by the learned Judge that the Appellant was required to produce documents is akin to reading </w:t>
      </w:r>
      <w:r w:rsidR="00C31BCD">
        <w:rPr>
          <w:rFonts w:ascii="Bookman Old Style" w:hAnsi="Bookman Old Style" w:cs="Tahoma"/>
          <w:sz w:val="28"/>
          <w:szCs w:val="28"/>
          <w:lang w:val="en-GB"/>
        </w:rPr>
        <w:lastRenderedPageBreak/>
        <w:t xml:space="preserve">into sub-paragraph (c), the requirements set out in Rule 18 (1) and/or Rule 18 (2) of Gazette Notice.  That the approach does not accord with the accepted cannons of interpreting fiscal legislation.  As authority for this argument, he referred us to the </w:t>
      </w:r>
      <w:r w:rsidR="00BE518F">
        <w:rPr>
          <w:rFonts w:ascii="Bookman Old Style" w:hAnsi="Bookman Old Style" w:cs="Tahoma"/>
          <w:sz w:val="28"/>
          <w:szCs w:val="28"/>
          <w:lang w:val="en-GB"/>
        </w:rPr>
        <w:t>d</w:t>
      </w:r>
      <w:r w:rsidR="00C31BCD">
        <w:rPr>
          <w:rFonts w:ascii="Bookman Old Style" w:hAnsi="Bookman Old Style" w:cs="Tahoma"/>
          <w:sz w:val="28"/>
          <w:szCs w:val="28"/>
          <w:lang w:val="en-GB"/>
        </w:rPr>
        <w:t>ict</w:t>
      </w:r>
      <w:r w:rsidR="00BE518F">
        <w:rPr>
          <w:rFonts w:ascii="Bookman Old Style" w:hAnsi="Bookman Old Style" w:cs="Tahoma"/>
          <w:sz w:val="28"/>
          <w:szCs w:val="28"/>
          <w:lang w:val="en-GB"/>
        </w:rPr>
        <w:t>u</w:t>
      </w:r>
      <w:r w:rsidR="00C31BCD">
        <w:rPr>
          <w:rFonts w:ascii="Bookman Old Style" w:hAnsi="Bookman Old Style" w:cs="Tahoma"/>
          <w:sz w:val="28"/>
          <w:szCs w:val="28"/>
          <w:lang w:val="en-GB"/>
        </w:rPr>
        <w:t>m of Rowlatt J., that:-</w:t>
      </w:r>
    </w:p>
    <w:p w:rsidR="00C31BCD" w:rsidRDefault="00C31BCD" w:rsidP="00943535">
      <w:pPr>
        <w:pStyle w:val="ListParagraph"/>
        <w:spacing w:line="360" w:lineRule="auto"/>
        <w:ind w:left="1094" w:right="864"/>
        <w:jc w:val="both"/>
        <w:rPr>
          <w:rFonts w:ascii="Arial Rounded MT Bold" w:hAnsi="Arial Rounded MT Bold" w:cs="Tahoma"/>
          <w:b/>
          <w:lang w:val="en-GB"/>
        </w:rPr>
      </w:pPr>
      <w:r>
        <w:rPr>
          <w:rFonts w:ascii="Arial Rounded MT Bold" w:hAnsi="Arial Rounded MT Bold" w:cs="Tahoma"/>
          <w:b/>
          <w:lang w:val="en-GB"/>
        </w:rPr>
        <w:t>“In a taxing Act, one has to look at what is clearly said.  There is no equity about a tax.  There is no presumption</w:t>
      </w:r>
      <w:r w:rsidR="007F7F75">
        <w:rPr>
          <w:rFonts w:ascii="Arial Rounded MT Bold" w:hAnsi="Arial Rounded MT Bold" w:cs="Tahoma"/>
          <w:b/>
          <w:lang w:val="en-GB"/>
        </w:rPr>
        <w:t xml:space="preserve"> as to tax.  Nothing is to be read in, nothing is to be implied.  One can only look fairly at the language used.”</w:t>
      </w:r>
      <w:r w:rsidR="007F7F75">
        <w:rPr>
          <w:rFonts w:ascii="Arial Rounded MT Bold" w:hAnsi="Arial Rounded MT Bold" w:cs="Tahoma"/>
          <w:b/>
          <w:i/>
          <w:lang w:val="en-GB"/>
        </w:rPr>
        <w:t xml:space="preserve"> (See </w:t>
      </w:r>
      <w:r w:rsidR="007F7F75">
        <w:rPr>
          <w:rFonts w:ascii="Arial Rounded MT Bold" w:hAnsi="Arial Rounded MT Bold" w:cs="Tahoma"/>
          <w:b/>
          <w:i/>
          <w:u w:val="single"/>
          <w:lang w:val="en-GB"/>
        </w:rPr>
        <w:t>Cape Brandy Syndicate v I.R.C.</w:t>
      </w:r>
      <w:r w:rsidR="007F7F75">
        <w:rPr>
          <w:rFonts w:ascii="Arial Rounded MT Bold" w:hAnsi="Arial Rounded MT Bold" w:cs="Tahoma"/>
          <w:b/>
          <w:lang w:val="en-GB"/>
        </w:rPr>
        <w:t xml:space="preserve"> 1 K.B. 64).</w:t>
      </w:r>
    </w:p>
    <w:p w:rsidR="007F7F75" w:rsidRDefault="007F7F75" w:rsidP="007F7F75">
      <w:pPr>
        <w:spacing w:line="360" w:lineRule="auto"/>
        <w:jc w:val="both"/>
        <w:rPr>
          <w:rFonts w:ascii="Bookman Old Style" w:hAnsi="Bookman Old Style" w:cs="Tahoma"/>
          <w:sz w:val="28"/>
          <w:szCs w:val="28"/>
          <w:lang w:val="en-GB"/>
        </w:rPr>
      </w:pPr>
    </w:p>
    <w:p w:rsidR="007F7F75" w:rsidRPr="007F7F75" w:rsidRDefault="007F7F75" w:rsidP="007F7F75">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He argues that it was grave error to have taken the view that as part of the Appellant’s burden</w:t>
      </w:r>
      <w:r w:rsidR="003557DB">
        <w:rPr>
          <w:rFonts w:ascii="Bookman Old Style" w:hAnsi="Bookman Old Style" w:cs="Tahoma"/>
          <w:sz w:val="28"/>
          <w:szCs w:val="28"/>
          <w:lang w:val="en-GB"/>
        </w:rPr>
        <w:t xml:space="preserve"> of proof, it has to produce evidence as required by Rule 18 (1) and Rule 18 (2) of the Gazette Notice.  That there is a distinct possibility that a finding can be made that </w:t>
      </w:r>
      <w:r w:rsidR="006F0F86">
        <w:rPr>
          <w:rFonts w:ascii="Bookman Old Style" w:hAnsi="Bookman Old Style" w:cs="Tahoma"/>
          <w:sz w:val="28"/>
          <w:szCs w:val="28"/>
          <w:lang w:val="en-GB"/>
        </w:rPr>
        <w:t>the Appellant is not entitled to zero rating and hence liable to tax if for any reason copies of the acquittal documents are not found.  That this could lead to taxation on unclear and imprecise law.  That it is a principle of interpretation of fiscal legislation that a citizen has to be</w:t>
      </w:r>
      <w:r w:rsidR="005B1A23">
        <w:rPr>
          <w:rFonts w:ascii="Bookman Old Style" w:hAnsi="Bookman Old Style" w:cs="Tahoma"/>
          <w:sz w:val="28"/>
          <w:szCs w:val="28"/>
          <w:lang w:val="en-GB"/>
        </w:rPr>
        <w:t xml:space="preserve"> taxed</w:t>
      </w:r>
      <w:r w:rsidR="006F0F86">
        <w:rPr>
          <w:rFonts w:ascii="Bookman Old Style" w:hAnsi="Bookman Old Style" w:cs="Tahoma"/>
          <w:sz w:val="28"/>
          <w:szCs w:val="28"/>
          <w:lang w:val="en-GB"/>
        </w:rPr>
        <w:t xml:space="preserve"> on clear law.  In this respect</w:t>
      </w:r>
      <w:r w:rsidR="005B1A23">
        <w:rPr>
          <w:rFonts w:ascii="Bookman Old Style" w:hAnsi="Bookman Old Style" w:cs="Tahoma"/>
          <w:sz w:val="28"/>
          <w:szCs w:val="28"/>
          <w:lang w:val="en-GB"/>
        </w:rPr>
        <w:t>,</w:t>
      </w:r>
      <w:r w:rsidR="006F0F86">
        <w:rPr>
          <w:rFonts w:ascii="Bookman Old Style" w:hAnsi="Bookman Old Style" w:cs="Tahoma"/>
          <w:sz w:val="28"/>
          <w:szCs w:val="28"/>
          <w:lang w:val="en-GB"/>
        </w:rPr>
        <w:t xml:space="preserve"> he referred us to the observation of Lord</w:t>
      </w:r>
      <w:r w:rsidR="008038EE">
        <w:rPr>
          <w:rFonts w:ascii="Bookman Old Style" w:hAnsi="Bookman Old Style" w:cs="Tahoma"/>
          <w:sz w:val="28"/>
          <w:szCs w:val="28"/>
          <w:lang w:val="en-GB"/>
        </w:rPr>
        <w:t xml:space="preserve"> Wilberforce to the effect that:</w:t>
      </w:r>
    </w:p>
    <w:p w:rsidR="008038EE" w:rsidRDefault="00C31BCD" w:rsidP="007F7F75">
      <w:pPr>
        <w:pStyle w:val="ListParagraph"/>
        <w:spacing w:line="360" w:lineRule="auto"/>
        <w:ind w:left="1094" w:right="864"/>
        <w:jc w:val="both"/>
        <w:rPr>
          <w:rFonts w:ascii="Arial Rounded MT Bold" w:hAnsi="Arial Rounded MT Bold" w:cs="Tahoma"/>
          <w:b/>
          <w:lang w:val="en-GB"/>
        </w:rPr>
      </w:pPr>
      <w:r>
        <w:rPr>
          <w:rFonts w:ascii="Arial Rounded MT Bold" w:hAnsi="Arial Rounded MT Bold" w:cs="Tahoma"/>
          <w:b/>
          <w:lang w:val="en-GB"/>
        </w:rPr>
        <w:t xml:space="preserve"> </w:t>
      </w:r>
      <w:r w:rsidR="00A571E7">
        <w:rPr>
          <w:rFonts w:ascii="Arial Rounded MT Bold" w:hAnsi="Arial Rounded MT Bold" w:cs="Tahoma"/>
          <w:b/>
          <w:lang w:val="en-GB"/>
        </w:rPr>
        <w:t xml:space="preserve"> </w:t>
      </w:r>
      <w:r w:rsidR="008038EE">
        <w:rPr>
          <w:rFonts w:ascii="Arial Rounded MT Bold" w:hAnsi="Arial Rounded MT Bold" w:cs="Tahoma"/>
          <w:b/>
          <w:lang w:val="en-GB"/>
        </w:rPr>
        <w:t>“A c</w:t>
      </w:r>
      <w:r w:rsidR="00A571E7">
        <w:rPr>
          <w:rFonts w:ascii="Arial Rounded MT Bold" w:hAnsi="Arial Rounded MT Bold" w:cs="Tahoma"/>
          <w:b/>
          <w:lang w:val="en-GB"/>
        </w:rPr>
        <w:t>i</w:t>
      </w:r>
      <w:r w:rsidR="008038EE">
        <w:rPr>
          <w:rFonts w:ascii="Arial Rounded MT Bold" w:hAnsi="Arial Rounded MT Bold" w:cs="Tahoma"/>
          <w:b/>
          <w:lang w:val="en-GB"/>
        </w:rPr>
        <w:t>tizen is not  to be taxed unless he is designated in clear terms by the taxing Act</w:t>
      </w:r>
      <w:r w:rsidR="00A81E51" w:rsidRPr="00A571E7">
        <w:rPr>
          <w:rFonts w:ascii="Arial Rounded MT Bold" w:hAnsi="Arial Rounded MT Bold" w:cs="Tahoma"/>
          <w:b/>
          <w:lang w:val="en-GB"/>
        </w:rPr>
        <w:t xml:space="preserve"> </w:t>
      </w:r>
      <w:r w:rsidR="008038EE">
        <w:rPr>
          <w:rFonts w:ascii="Arial Rounded MT Bold" w:hAnsi="Arial Rounded MT Bold" w:cs="Tahoma"/>
          <w:b/>
          <w:lang w:val="en-GB"/>
        </w:rPr>
        <w:t xml:space="preserve">as a tax payer and the amount of his liability clearly defined….” </w:t>
      </w:r>
      <w:r w:rsidR="008038EE">
        <w:rPr>
          <w:rFonts w:ascii="Arial Rounded MT Bold" w:hAnsi="Arial Rounded MT Bold" w:cs="Tahoma"/>
          <w:b/>
          <w:i/>
          <w:lang w:val="en-GB"/>
        </w:rPr>
        <w:t xml:space="preserve">(See </w:t>
      </w:r>
      <w:r w:rsidR="008038EE" w:rsidRPr="008038EE">
        <w:rPr>
          <w:rFonts w:ascii="Arial Rounded MT Bold" w:hAnsi="Arial Rounded MT Bold" w:cs="Tahoma"/>
          <w:b/>
          <w:i/>
          <w:u w:val="single"/>
          <w:lang w:val="en-GB"/>
        </w:rPr>
        <w:t>Vestey v I.R.C.</w:t>
      </w:r>
      <w:r w:rsidR="008038EE">
        <w:rPr>
          <w:rFonts w:ascii="Arial Rounded MT Bold" w:hAnsi="Arial Rounded MT Bold" w:cs="Tahoma"/>
          <w:b/>
          <w:i/>
          <w:lang w:val="en-GB"/>
        </w:rPr>
        <w:t xml:space="preserve"> [1980] STC,at page 18).</w:t>
      </w:r>
    </w:p>
    <w:p w:rsidR="008038EE" w:rsidRDefault="008038EE" w:rsidP="008038EE">
      <w:pPr>
        <w:spacing w:line="360" w:lineRule="auto"/>
        <w:ind w:right="864"/>
        <w:jc w:val="both"/>
        <w:rPr>
          <w:rFonts w:ascii="Bookman Old Style" w:hAnsi="Bookman Old Style" w:cs="Tahoma"/>
          <w:sz w:val="28"/>
          <w:szCs w:val="28"/>
          <w:lang w:val="en-GB"/>
        </w:rPr>
      </w:pPr>
    </w:p>
    <w:p w:rsidR="008038EE" w:rsidRDefault="008038EE" w:rsidP="008038EE">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He concludes that the learned Judge’s implicit finding that if the acquittal documents are not available, the </w:t>
      </w:r>
      <w:r w:rsidR="00772426">
        <w:rPr>
          <w:rFonts w:ascii="Bookman Old Style" w:hAnsi="Bookman Old Style" w:cs="Tahoma"/>
          <w:sz w:val="28"/>
          <w:szCs w:val="28"/>
          <w:lang w:val="en-GB"/>
        </w:rPr>
        <w:t xml:space="preserve">assessment will </w:t>
      </w:r>
      <w:r w:rsidR="00772426">
        <w:rPr>
          <w:rFonts w:ascii="Bookman Old Style" w:hAnsi="Bookman Old Style" w:cs="Tahoma"/>
          <w:sz w:val="28"/>
          <w:szCs w:val="28"/>
          <w:lang w:val="en-GB"/>
        </w:rPr>
        <w:lastRenderedPageBreak/>
        <w:t>stand is tantamount to imposing a tax on the basis of an obligation not intended by the law.</w:t>
      </w:r>
    </w:p>
    <w:p w:rsidR="00772426" w:rsidRDefault="00772426" w:rsidP="008038EE">
      <w:pPr>
        <w:spacing w:line="360" w:lineRule="auto"/>
        <w:ind w:firstLine="720"/>
        <w:jc w:val="both"/>
        <w:rPr>
          <w:rFonts w:ascii="Bookman Old Style" w:hAnsi="Bookman Old Style" w:cs="Tahoma"/>
          <w:sz w:val="28"/>
          <w:szCs w:val="28"/>
          <w:lang w:val="en-GB"/>
        </w:rPr>
      </w:pPr>
    </w:p>
    <w:p w:rsidR="00772426" w:rsidRPr="008038EE" w:rsidRDefault="00772426" w:rsidP="008038EE">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response, on behalf of the Respondent, Mr. Locha submits that the learned Judge in the Court below did not err in law because she considered Section 15 (2) of </w:t>
      </w:r>
      <w:r>
        <w:rPr>
          <w:rFonts w:ascii="Bookman Old Style" w:hAnsi="Bookman Old Style" w:cs="Tahoma"/>
          <w:b/>
          <w:sz w:val="28"/>
          <w:szCs w:val="28"/>
          <w:u w:val="single"/>
          <w:lang w:val="en-GB"/>
        </w:rPr>
        <w:t>the Value Added Tax Act</w:t>
      </w:r>
      <w:r>
        <w:rPr>
          <w:rFonts w:ascii="Bookman Old Style" w:hAnsi="Bookman Old Style" w:cs="Tahoma"/>
          <w:b/>
          <w:sz w:val="28"/>
          <w:szCs w:val="28"/>
          <w:lang w:val="en-GB"/>
        </w:rPr>
        <w:t>, CAP 331</w:t>
      </w:r>
      <w:r>
        <w:rPr>
          <w:rFonts w:ascii="Bookman Old Style" w:hAnsi="Bookman Old Style" w:cs="Tahoma"/>
          <w:sz w:val="28"/>
          <w:szCs w:val="28"/>
          <w:lang w:val="en-GB"/>
        </w:rPr>
        <w:t xml:space="preserve"> of the Laws of Zambia, together with the second schedule to the Act </w:t>
      </w:r>
      <w:r w:rsidRPr="00772426">
        <w:rPr>
          <w:rFonts w:ascii="Bookman Old Style" w:hAnsi="Bookman Old Style" w:cs="Tahoma"/>
          <w:b/>
          <w:sz w:val="28"/>
          <w:szCs w:val="28"/>
          <w:lang w:val="en-GB"/>
        </w:rPr>
        <w:t>and Rule 18</w:t>
      </w:r>
      <w:r>
        <w:rPr>
          <w:rFonts w:ascii="Bookman Old Style" w:hAnsi="Bookman Old Style" w:cs="Tahoma"/>
          <w:sz w:val="28"/>
          <w:szCs w:val="28"/>
          <w:lang w:val="en-GB"/>
        </w:rPr>
        <w:t xml:space="preserve"> of the </w:t>
      </w:r>
      <w:r w:rsidRPr="00772426">
        <w:rPr>
          <w:rFonts w:ascii="Bookman Old Style" w:hAnsi="Bookman Old Style" w:cs="Tahoma"/>
          <w:b/>
          <w:sz w:val="28"/>
          <w:szCs w:val="28"/>
          <w:lang w:val="en-GB"/>
        </w:rPr>
        <w:t>Gazette Notice No. 87</w:t>
      </w:r>
      <w:r>
        <w:rPr>
          <w:rFonts w:ascii="Bookman Old Style" w:hAnsi="Bookman Old Style" w:cs="Tahoma"/>
          <w:sz w:val="28"/>
          <w:szCs w:val="28"/>
          <w:lang w:val="en-GB"/>
        </w:rPr>
        <w:t xml:space="preserve"> of </w:t>
      </w:r>
      <w:r w:rsidRPr="00772426">
        <w:rPr>
          <w:rFonts w:ascii="Bookman Old Style" w:hAnsi="Bookman Old Style" w:cs="Tahoma"/>
          <w:b/>
          <w:sz w:val="28"/>
          <w:szCs w:val="28"/>
          <w:lang w:val="en-GB"/>
        </w:rPr>
        <w:t>1996</w:t>
      </w:r>
      <w:r>
        <w:rPr>
          <w:rFonts w:ascii="Bookman Old Style" w:hAnsi="Bookman Old Style" w:cs="Tahoma"/>
          <w:sz w:val="28"/>
          <w:szCs w:val="28"/>
          <w:lang w:val="en-GB"/>
        </w:rPr>
        <w:t>; which deal with zero rating.  He submits that when considering the law on zero rating, Section 15 of the Act should be read</w:t>
      </w:r>
      <w:r w:rsidR="005B1A23">
        <w:rPr>
          <w:rFonts w:ascii="Bookman Old Style" w:hAnsi="Bookman Old Style" w:cs="Tahoma"/>
          <w:sz w:val="28"/>
          <w:szCs w:val="28"/>
          <w:lang w:val="en-GB"/>
        </w:rPr>
        <w:t xml:space="preserve"> together</w:t>
      </w:r>
      <w:r>
        <w:rPr>
          <w:rFonts w:ascii="Bookman Old Style" w:hAnsi="Bookman Old Style" w:cs="Tahoma"/>
          <w:sz w:val="28"/>
          <w:szCs w:val="28"/>
          <w:lang w:val="en-GB"/>
        </w:rPr>
        <w:t xml:space="preserve"> with the schedules, Regulations and notes thereto.</w:t>
      </w:r>
      <w:r w:rsidR="002975EB">
        <w:rPr>
          <w:rFonts w:ascii="Bookman Old Style" w:hAnsi="Bookman Old Style" w:cs="Tahoma"/>
          <w:sz w:val="28"/>
          <w:szCs w:val="28"/>
          <w:lang w:val="en-GB"/>
        </w:rPr>
        <w:t xml:space="preserve">  That doing so is in accord with Section 9 of the Interpretation and General Provisions Act, CAP 2 of the Laws of Zambia.</w:t>
      </w:r>
      <w:r w:rsidR="004B0C26">
        <w:rPr>
          <w:rFonts w:ascii="Bookman Old Style" w:hAnsi="Bookman Old Style" w:cs="Tahoma"/>
          <w:sz w:val="28"/>
          <w:szCs w:val="28"/>
          <w:lang w:val="en-GB"/>
        </w:rPr>
        <w:t xml:space="preserve">   He submits that Rule 18 of Gazette Notice No. 87 of 1996, sets out the Rules and what should be done, for any taxable supplier to qualify for zero rating.  He emphasizes that the said Rules should be considered and read in total and not in isolation.  That this is in order to maintain consistency in interpretation and application.   As authority for this principle he cites </w:t>
      </w:r>
      <w:r w:rsidR="004B0C26">
        <w:rPr>
          <w:rFonts w:ascii="Bookman Old Style" w:hAnsi="Bookman Old Style" w:cs="Tahoma"/>
          <w:b/>
          <w:sz w:val="28"/>
          <w:szCs w:val="28"/>
          <w:u w:val="single"/>
          <w:lang w:val="en-GB"/>
        </w:rPr>
        <w:t>Canada Sugar Refining Company v R</w:t>
      </w:r>
      <w:r w:rsidR="004B0C26">
        <w:rPr>
          <w:rFonts w:ascii="Bookman Old Style" w:hAnsi="Bookman Old Style" w:cs="Tahoma"/>
          <w:b/>
          <w:sz w:val="28"/>
          <w:szCs w:val="28"/>
          <w:lang w:val="en-GB"/>
        </w:rPr>
        <w:t xml:space="preserve"> (5),</w:t>
      </w:r>
      <w:r w:rsidR="004B0C26">
        <w:rPr>
          <w:rFonts w:ascii="Bookman Old Style" w:hAnsi="Bookman Old Style" w:cs="Tahoma"/>
          <w:sz w:val="28"/>
          <w:szCs w:val="28"/>
          <w:lang w:val="en-GB"/>
        </w:rPr>
        <w:t xml:space="preserve"> where it was said that:</w:t>
      </w:r>
      <w:r>
        <w:rPr>
          <w:rFonts w:ascii="Bookman Old Style" w:hAnsi="Bookman Old Style" w:cs="Tahoma"/>
          <w:sz w:val="28"/>
          <w:szCs w:val="28"/>
          <w:lang w:val="en-GB"/>
        </w:rPr>
        <w:t xml:space="preserve"> </w:t>
      </w:r>
    </w:p>
    <w:p w:rsidR="00072596" w:rsidRDefault="004B0C26" w:rsidP="007F7F75">
      <w:pPr>
        <w:pStyle w:val="ListParagraph"/>
        <w:spacing w:line="360" w:lineRule="auto"/>
        <w:ind w:left="1094" w:right="864"/>
        <w:jc w:val="both"/>
        <w:rPr>
          <w:rFonts w:ascii="Arial Rounded MT Bold" w:hAnsi="Arial Rounded MT Bold" w:cs="Tahoma"/>
          <w:b/>
          <w:lang w:val="en-GB"/>
        </w:rPr>
      </w:pPr>
      <w:r>
        <w:rPr>
          <w:rFonts w:ascii="Arial Rounded MT Bold" w:hAnsi="Arial Rounded MT Bold" w:cs="Tahoma"/>
          <w:b/>
          <w:lang w:val="en-GB"/>
        </w:rPr>
        <w:t>“Every Clause of a statute</w:t>
      </w:r>
      <w:r w:rsidR="00072596">
        <w:rPr>
          <w:rFonts w:ascii="Arial Rounded MT Bold" w:hAnsi="Arial Rounded MT Bold" w:cs="Tahoma"/>
          <w:b/>
          <w:lang w:val="en-GB"/>
        </w:rPr>
        <w:t xml:space="preserve"> should be construed with reference to the context and other clauses of the Act, so far as possible, to make a consistent enactment of the whole statute or series of statutes relating the subject matter.”</w:t>
      </w:r>
    </w:p>
    <w:p w:rsidR="00072596" w:rsidRDefault="00072596" w:rsidP="00072596">
      <w:pPr>
        <w:spacing w:line="360" w:lineRule="auto"/>
        <w:jc w:val="both"/>
        <w:rPr>
          <w:rFonts w:ascii="Bookman Old Style" w:hAnsi="Bookman Old Style" w:cs="Tahoma"/>
          <w:sz w:val="28"/>
          <w:szCs w:val="28"/>
          <w:lang w:val="en-GB"/>
        </w:rPr>
      </w:pPr>
    </w:p>
    <w:p w:rsidR="00E10417" w:rsidRDefault="00072596" w:rsidP="00E1041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He submits that following that principle, the intention, behind the provision of Rule 18 was to apply to all taxable suppliers, who claim that a particular supply is zero rated.  That the requirements </w:t>
      </w:r>
      <w:r>
        <w:rPr>
          <w:rFonts w:ascii="Bookman Old Style" w:hAnsi="Bookman Old Style" w:cs="Tahoma"/>
          <w:sz w:val="28"/>
          <w:szCs w:val="28"/>
          <w:lang w:val="en-GB"/>
        </w:rPr>
        <w:lastRenderedPageBreak/>
        <w:t>in that particular Rule applies to all such suppliers.  To argue that the Rule does not apply to sub-paragraph (c) of the schedule is highly erroneous, given that the other Sections and Clauses in the Act would result in an inconsistent interpretation of the whole legislat</w:t>
      </w:r>
      <w:r w:rsidR="00E10417">
        <w:rPr>
          <w:rFonts w:ascii="Bookman Old Style" w:hAnsi="Bookman Old Style" w:cs="Tahoma"/>
          <w:sz w:val="28"/>
          <w:szCs w:val="28"/>
          <w:lang w:val="en-GB"/>
        </w:rPr>
        <w:t>i</w:t>
      </w:r>
      <w:r>
        <w:rPr>
          <w:rFonts w:ascii="Bookman Old Style" w:hAnsi="Bookman Old Style" w:cs="Tahoma"/>
          <w:sz w:val="28"/>
          <w:szCs w:val="28"/>
          <w:lang w:val="en-GB"/>
        </w:rPr>
        <w:t>on related to this subject matter.</w:t>
      </w:r>
      <w:r w:rsidR="00E10417">
        <w:rPr>
          <w:rFonts w:ascii="Bookman Old Style" w:hAnsi="Bookman Old Style" w:cs="Tahoma"/>
          <w:sz w:val="28"/>
          <w:szCs w:val="28"/>
          <w:lang w:val="en-GB"/>
        </w:rPr>
        <w:t xml:space="preserve">  He adds that where as an accepted principle is that when interpreting fiscal Legislation one has to look at what is said in the Act, that, however, does not entail that Clauses within the same Section or Sections within the same statute should be read in isolation from the others, as suggested by the Appellant in its submissions.  That reading Sections or Clauses in isolation would be overstretching the principle and could lead to serious inconsistencies.</w:t>
      </w:r>
    </w:p>
    <w:p w:rsidR="00392236" w:rsidRDefault="00392236" w:rsidP="00E10417">
      <w:pPr>
        <w:spacing w:line="360" w:lineRule="auto"/>
        <w:ind w:firstLine="720"/>
        <w:jc w:val="both"/>
        <w:rPr>
          <w:rFonts w:ascii="Bookman Old Style" w:hAnsi="Bookman Old Style" w:cs="Tahoma"/>
          <w:sz w:val="28"/>
          <w:szCs w:val="28"/>
          <w:lang w:val="en-GB"/>
        </w:rPr>
      </w:pPr>
    </w:p>
    <w:p w:rsidR="00392236" w:rsidRDefault="00392236" w:rsidP="00E10417">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We have examined the Judgment in the Court below and have looked at Section15 of the Act, the 2</w:t>
      </w:r>
      <w:r w:rsidRPr="00392236">
        <w:rPr>
          <w:rFonts w:ascii="Bookman Old Style" w:hAnsi="Bookman Old Style" w:cs="Tahoma"/>
          <w:sz w:val="28"/>
          <w:szCs w:val="28"/>
          <w:vertAlign w:val="superscript"/>
          <w:lang w:val="en-GB"/>
        </w:rPr>
        <w:t>nd</w:t>
      </w:r>
      <w:r>
        <w:rPr>
          <w:rFonts w:ascii="Bookman Old Style" w:hAnsi="Bookman Old Style" w:cs="Tahoma"/>
          <w:sz w:val="28"/>
          <w:szCs w:val="28"/>
          <w:lang w:val="en-GB"/>
        </w:rPr>
        <w:t xml:space="preserve"> schedule thereto and Regulation18 (1) &amp; (2).</w:t>
      </w:r>
      <w:r w:rsidR="00DF7629">
        <w:rPr>
          <w:rFonts w:ascii="Bookman Old Style" w:hAnsi="Bookman Old Style" w:cs="Tahoma"/>
          <w:sz w:val="28"/>
          <w:szCs w:val="28"/>
          <w:lang w:val="en-GB"/>
        </w:rPr>
        <w:t xml:space="preserve">  Section 15 of the Act deals with exemptions and zero ratings.  In so far as relevant, it provides as follows:-</w:t>
      </w:r>
    </w:p>
    <w:p w:rsidR="00273F69" w:rsidRDefault="00DF7629" w:rsidP="000E788D">
      <w:pPr>
        <w:pStyle w:val="ListParagraph"/>
        <w:spacing w:line="360" w:lineRule="auto"/>
        <w:ind w:left="2159" w:right="864" w:hanging="1065"/>
        <w:jc w:val="both"/>
        <w:rPr>
          <w:rFonts w:ascii="Arial Rounded MT Bold" w:hAnsi="Arial Rounded MT Bold" w:cs="Tahoma"/>
          <w:b/>
          <w:lang w:val="en-GB"/>
        </w:rPr>
      </w:pPr>
      <w:r>
        <w:rPr>
          <w:rFonts w:ascii="Arial Rounded MT Bold" w:hAnsi="Arial Rounded MT Bold" w:cs="Tahoma"/>
          <w:b/>
          <w:lang w:val="en-GB"/>
        </w:rPr>
        <w:t>“15 (1)</w:t>
      </w:r>
      <w:r>
        <w:rPr>
          <w:rFonts w:ascii="Arial Rounded MT Bold" w:hAnsi="Arial Rounded MT Bold" w:cs="Tahoma"/>
          <w:b/>
          <w:lang w:val="en-GB"/>
        </w:rPr>
        <w:tab/>
      </w:r>
      <w:r w:rsidR="000E788D">
        <w:rPr>
          <w:rFonts w:ascii="Arial Rounded MT Bold" w:hAnsi="Arial Rounded MT Bold" w:cs="Tahoma"/>
          <w:b/>
          <w:lang w:val="en-GB"/>
        </w:rPr>
        <w:tab/>
      </w:r>
      <w:r>
        <w:rPr>
          <w:rFonts w:ascii="Arial Rounded MT Bold" w:hAnsi="Arial Rounded MT Bold" w:cs="Tahoma"/>
          <w:b/>
          <w:lang w:val="en-GB"/>
        </w:rPr>
        <w:t xml:space="preserve">A </w:t>
      </w:r>
      <w:r w:rsidR="00A81E51" w:rsidRPr="00A571E7">
        <w:rPr>
          <w:rFonts w:ascii="Arial Rounded MT Bold" w:hAnsi="Arial Rounded MT Bold" w:cs="Tahoma"/>
          <w:b/>
          <w:lang w:val="en-GB"/>
        </w:rPr>
        <w:t>supply of goods or services</w:t>
      </w:r>
      <w:r>
        <w:rPr>
          <w:rFonts w:ascii="Arial Rounded MT Bold" w:hAnsi="Arial Rounded MT Bold" w:cs="Tahoma"/>
          <w:b/>
          <w:lang w:val="en-GB"/>
        </w:rPr>
        <w:t>, or an importation of goods, that is</w:t>
      </w:r>
      <w:r w:rsidR="00A81E51" w:rsidRPr="00A571E7">
        <w:rPr>
          <w:rFonts w:ascii="Arial Rounded MT Bold" w:hAnsi="Arial Rounded MT Bold" w:cs="Tahoma"/>
          <w:b/>
          <w:lang w:val="en-GB"/>
        </w:rPr>
        <w:t xml:space="preserve"> described in the </w:t>
      </w:r>
      <w:r>
        <w:rPr>
          <w:rFonts w:ascii="Arial Rounded MT Bold" w:hAnsi="Arial Rounded MT Bold" w:cs="Tahoma"/>
          <w:b/>
          <w:lang w:val="en-GB"/>
        </w:rPr>
        <w:t>first schedule shall be exempt from taxation.</w:t>
      </w:r>
    </w:p>
    <w:p w:rsidR="00FA480F" w:rsidRDefault="000E788D" w:rsidP="000E788D">
      <w:pPr>
        <w:pStyle w:val="ListParagraph"/>
        <w:spacing w:line="360" w:lineRule="auto"/>
        <w:ind w:left="2159" w:right="864" w:hanging="1065"/>
        <w:jc w:val="both"/>
        <w:rPr>
          <w:rFonts w:ascii="Arial Rounded MT Bold" w:hAnsi="Arial Rounded MT Bold" w:cs="Tahoma"/>
          <w:b/>
          <w:lang w:val="en-GB"/>
        </w:rPr>
      </w:pPr>
      <w:r>
        <w:rPr>
          <w:rFonts w:ascii="Arial Rounded MT Bold" w:hAnsi="Arial Rounded MT Bold" w:cs="Tahoma"/>
          <w:b/>
          <w:lang w:val="en-GB"/>
        </w:rPr>
        <w:t xml:space="preserve">      (2)</w:t>
      </w:r>
      <w:r>
        <w:rPr>
          <w:rFonts w:ascii="Arial Rounded MT Bold" w:hAnsi="Arial Rounded MT Bold" w:cs="Tahoma"/>
          <w:b/>
          <w:lang w:val="en-GB"/>
        </w:rPr>
        <w:tab/>
      </w:r>
      <w:r>
        <w:rPr>
          <w:rFonts w:ascii="Arial Rounded MT Bold" w:hAnsi="Arial Rounded MT Bold" w:cs="Tahoma"/>
          <w:b/>
          <w:lang w:val="en-GB"/>
        </w:rPr>
        <w:tab/>
        <w:t xml:space="preserve">A </w:t>
      </w:r>
      <w:r w:rsidRPr="00A571E7">
        <w:rPr>
          <w:rFonts w:ascii="Arial Rounded MT Bold" w:hAnsi="Arial Rounded MT Bold" w:cs="Tahoma"/>
          <w:b/>
          <w:lang w:val="en-GB"/>
        </w:rPr>
        <w:t>supply of goods or services</w:t>
      </w:r>
      <w:r>
        <w:rPr>
          <w:rFonts w:ascii="Arial Rounded MT Bold" w:hAnsi="Arial Rounded MT Bold" w:cs="Tahoma"/>
          <w:b/>
          <w:lang w:val="en-GB"/>
        </w:rPr>
        <w:t xml:space="preserve"> that is described in the second schedule shall, unless it is an exempt supply, be a zero-rated supply.  </w:t>
      </w:r>
    </w:p>
    <w:p w:rsidR="00FA480F" w:rsidRDefault="00FA480F" w:rsidP="00FA480F">
      <w:pPr>
        <w:spacing w:line="360" w:lineRule="auto"/>
        <w:ind w:right="864"/>
        <w:jc w:val="both"/>
        <w:rPr>
          <w:rFonts w:ascii="Arial Rounded MT Bold" w:hAnsi="Arial Rounded MT Bold" w:cs="Tahoma"/>
          <w:b/>
          <w:lang w:val="en-GB"/>
        </w:rPr>
      </w:pPr>
    </w:p>
    <w:p w:rsidR="00B34B2A" w:rsidRDefault="000E788D" w:rsidP="00CF2DA1">
      <w:pPr>
        <w:spacing w:line="360" w:lineRule="auto"/>
        <w:ind w:firstLine="720"/>
        <w:jc w:val="both"/>
        <w:rPr>
          <w:rFonts w:ascii="Bookman Old Style" w:hAnsi="Bookman Old Style" w:cs="Tahoma"/>
          <w:bCs/>
          <w:sz w:val="28"/>
          <w:szCs w:val="28"/>
          <w:lang w:val="en-GB"/>
        </w:rPr>
      </w:pPr>
      <w:r w:rsidRPr="00FA480F">
        <w:rPr>
          <w:rFonts w:ascii="Bookman Old Style" w:hAnsi="Bookman Old Style" w:cs="Tahoma"/>
          <w:bCs/>
          <w:sz w:val="28"/>
          <w:szCs w:val="28"/>
          <w:lang w:val="en-GB"/>
        </w:rPr>
        <w:t xml:space="preserve">Of interest to us is the second schedule.  The second schedule, as it stand now, is as set out above at page </w:t>
      </w:r>
      <w:r w:rsidR="00CF2DA1">
        <w:rPr>
          <w:rFonts w:ascii="Bookman Old Style" w:hAnsi="Bookman Old Style" w:cs="Tahoma"/>
          <w:bCs/>
          <w:sz w:val="28"/>
          <w:szCs w:val="28"/>
          <w:lang w:val="en-GB"/>
        </w:rPr>
        <w:t xml:space="preserve">10 </w:t>
      </w:r>
      <w:r w:rsidRPr="00FA480F">
        <w:rPr>
          <w:rFonts w:ascii="Bookman Old Style" w:hAnsi="Bookman Old Style" w:cs="Tahoma"/>
          <w:bCs/>
          <w:sz w:val="28"/>
          <w:szCs w:val="28"/>
          <w:lang w:val="en-GB"/>
        </w:rPr>
        <w:t>hereof.</w:t>
      </w:r>
      <w:r w:rsidR="00FA480F">
        <w:rPr>
          <w:rFonts w:ascii="Bookman Old Style" w:hAnsi="Bookman Old Style" w:cs="Tahoma"/>
          <w:bCs/>
          <w:sz w:val="28"/>
          <w:szCs w:val="28"/>
          <w:lang w:val="en-GB"/>
        </w:rPr>
        <w:t xml:space="preserve">  </w:t>
      </w:r>
      <w:r w:rsidR="00B34B2A">
        <w:rPr>
          <w:rFonts w:ascii="Bookman Old Style" w:hAnsi="Bookman Old Style" w:cs="Tahoma"/>
          <w:bCs/>
          <w:sz w:val="28"/>
          <w:szCs w:val="28"/>
          <w:lang w:val="en-GB"/>
        </w:rPr>
        <w:t xml:space="preserve">The issue on ground two is mainly interpretation of Section 15 (2) of the Act, the </w:t>
      </w:r>
      <w:r w:rsidR="00B34B2A">
        <w:rPr>
          <w:rFonts w:ascii="Bookman Old Style" w:hAnsi="Bookman Old Style" w:cs="Tahoma"/>
          <w:bCs/>
          <w:sz w:val="28"/>
          <w:szCs w:val="28"/>
          <w:lang w:val="en-GB"/>
        </w:rPr>
        <w:lastRenderedPageBreak/>
        <w:t>second schedule thereto and Rule 18 (1) and (2).  These are already set out above.  We do not wish to reproduce them again.</w:t>
      </w:r>
    </w:p>
    <w:p w:rsidR="00B34B2A" w:rsidRDefault="00B34B2A" w:rsidP="00B34B2A">
      <w:pPr>
        <w:spacing w:line="360" w:lineRule="auto"/>
        <w:jc w:val="both"/>
        <w:rPr>
          <w:rFonts w:ascii="Bookman Old Style" w:hAnsi="Bookman Old Style" w:cs="Tahoma"/>
          <w:bCs/>
          <w:sz w:val="28"/>
          <w:szCs w:val="28"/>
          <w:lang w:val="en-GB"/>
        </w:rPr>
      </w:pPr>
    </w:p>
    <w:p w:rsidR="00E56CC6" w:rsidRDefault="00B34B2A" w:rsidP="00BF7539">
      <w:pPr>
        <w:spacing w:line="360" w:lineRule="auto"/>
        <w:jc w:val="both"/>
        <w:rPr>
          <w:rFonts w:ascii="Bookman Old Style" w:hAnsi="Bookman Old Style" w:cs="Tahoma"/>
          <w:bCs/>
          <w:sz w:val="28"/>
          <w:szCs w:val="28"/>
          <w:lang w:val="en-GB"/>
        </w:rPr>
      </w:pPr>
      <w:r>
        <w:rPr>
          <w:rFonts w:ascii="Bookman Old Style" w:hAnsi="Bookman Old Style" w:cs="Tahoma"/>
          <w:bCs/>
          <w:sz w:val="28"/>
          <w:szCs w:val="28"/>
          <w:lang w:val="en-GB"/>
        </w:rPr>
        <w:tab/>
        <w:t xml:space="preserve">The gist of Mr. Mundashi’s submission is that sub-paragraphs (a) (b) and (c) of paragraph 2 of the second schedule are separate and distinct from each other.  And so are </w:t>
      </w:r>
      <w:r w:rsidR="00BF7539">
        <w:rPr>
          <w:rFonts w:ascii="Bookman Old Style" w:hAnsi="Bookman Old Style" w:cs="Tahoma"/>
          <w:bCs/>
          <w:sz w:val="28"/>
          <w:szCs w:val="28"/>
          <w:lang w:val="en-GB"/>
        </w:rPr>
        <w:t xml:space="preserve">activities in each sub-paragraph.  He invites us to interpret them separately.   And on the authority of </w:t>
      </w:r>
      <w:r w:rsidR="00BF7539">
        <w:rPr>
          <w:rFonts w:ascii="Bookman Old Style" w:hAnsi="Bookman Old Style" w:cs="Tahoma"/>
          <w:b/>
          <w:sz w:val="28"/>
          <w:szCs w:val="28"/>
          <w:u w:val="single"/>
          <w:lang w:val="en-GB"/>
        </w:rPr>
        <w:t>Cape Brandy Syndicate v I.R.C.</w:t>
      </w:r>
      <w:r w:rsidR="00BF7539">
        <w:rPr>
          <w:rFonts w:ascii="Bookman Old Style" w:hAnsi="Bookman Old Style" w:cs="Tahoma"/>
          <w:b/>
          <w:sz w:val="28"/>
          <w:szCs w:val="28"/>
          <w:lang w:val="en-GB"/>
        </w:rPr>
        <w:t xml:space="preserve">, (12) </w:t>
      </w:r>
      <w:r w:rsidR="00BF7539">
        <w:rPr>
          <w:rFonts w:ascii="Bookman Old Style" w:hAnsi="Bookman Old Style" w:cs="Tahoma"/>
          <w:bCs/>
          <w:sz w:val="28"/>
          <w:szCs w:val="28"/>
          <w:lang w:val="en-GB"/>
        </w:rPr>
        <w:t>he urges us to interpret them using the literal or plain meaning Rule of interpretation.  With this approach, he wants us to find that sub-paragraph (c) of paragraph 2 of the second schedule, under which the service the Appellant supplied falls, does not create an</w:t>
      </w:r>
      <w:r w:rsidR="00376965">
        <w:rPr>
          <w:rFonts w:ascii="Bookman Old Style" w:hAnsi="Bookman Old Style" w:cs="Tahoma"/>
          <w:bCs/>
          <w:sz w:val="28"/>
          <w:szCs w:val="28"/>
          <w:lang w:val="en-GB"/>
        </w:rPr>
        <w:t xml:space="preserve"> obligation under Rule 18 (2) of the Gazette Notice</w:t>
      </w:r>
      <w:r w:rsidR="008F1EA5">
        <w:rPr>
          <w:rFonts w:ascii="Bookman Old Style" w:hAnsi="Bookman Old Style" w:cs="Tahoma"/>
          <w:bCs/>
          <w:sz w:val="28"/>
          <w:szCs w:val="28"/>
          <w:lang w:val="en-GB"/>
        </w:rPr>
        <w:t xml:space="preserve">, to produce customs acquittal documents, for its service to be zero-rated.  In short, he argues that the service is automatically zero-rated; there is no legal obligation to produce documentary evidence that the consignment exited Zambia into Congo D.R.  </w:t>
      </w:r>
    </w:p>
    <w:p w:rsidR="00E56CC6" w:rsidRDefault="00E56CC6" w:rsidP="00BF7539">
      <w:pPr>
        <w:spacing w:line="360" w:lineRule="auto"/>
        <w:jc w:val="both"/>
        <w:rPr>
          <w:rFonts w:ascii="Bookman Old Style" w:hAnsi="Bookman Old Style" w:cs="Tahoma"/>
          <w:bCs/>
          <w:sz w:val="28"/>
          <w:szCs w:val="28"/>
          <w:lang w:val="en-GB"/>
        </w:rPr>
      </w:pPr>
    </w:p>
    <w:p w:rsidR="00BB1520" w:rsidRDefault="00E56CC6" w:rsidP="00BF7539">
      <w:pPr>
        <w:spacing w:line="360" w:lineRule="auto"/>
        <w:jc w:val="both"/>
        <w:rPr>
          <w:rFonts w:ascii="Bookman Old Style" w:hAnsi="Bookman Old Style" w:cs="Tahoma"/>
          <w:bCs/>
          <w:sz w:val="28"/>
          <w:szCs w:val="28"/>
          <w:lang w:val="en-GB"/>
        </w:rPr>
      </w:pPr>
      <w:r>
        <w:rPr>
          <w:rFonts w:ascii="Bookman Old Style" w:hAnsi="Bookman Old Style" w:cs="Tahoma"/>
          <w:bCs/>
          <w:sz w:val="28"/>
          <w:szCs w:val="28"/>
          <w:lang w:val="en-GB"/>
        </w:rPr>
        <w:tab/>
        <w:t xml:space="preserve">On the </w:t>
      </w:r>
      <w:r w:rsidR="00DB3B53">
        <w:rPr>
          <w:rFonts w:ascii="Bookman Old Style" w:hAnsi="Bookman Old Style" w:cs="Tahoma"/>
          <w:bCs/>
          <w:sz w:val="28"/>
          <w:szCs w:val="28"/>
          <w:lang w:val="en-GB"/>
        </w:rPr>
        <w:t>other hand, Mr. Locha urges us to interpret the sub-paragraphs in question, Regulation 18 (2) and Section 15 (2) of the A</w:t>
      </w:r>
      <w:r w:rsidR="00BB1520">
        <w:rPr>
          <w:rFonts w:ascii="Bookman Old Style" w:hAnsi="Bookman Old Style" w:cs="Tahoma"/>
          <w:bCs/>
          <w:sz w:val="28"/>
          <w:szCs w:val="28"/>
          <w:lang w:val="en-GB"/>
        </w:rPr>
        <w:t>ct, together  and hold that there is an obligation on the Appellant to produce documentary evidence to show that the goods it transported in transit exited Zambia, into Congo D.R., for its service to be zero-rated.</w:t>
      </w:r>
    </w:p>
    <w:p w:rsidR="00BB1520" w:rsidRDefault="00BB1520" w:rsidP="00BF7539">
      <w:pPr>
        <w:spacing w:line="360" w:lineRule="auto"/>
        <w:jc w:val="both"/>
        <w:rPr>
          <w:rFonts w:ascii="Bookman Old Style" w:hAnsi="Bookman Old Style" w:cs="Tahoma"/>
          <w:bCs/>
          <w:sz w:val="28"/>
          <w:szCs w:val="28"/>
          <w:lang w:val="en-GB"/>
        </w:rPr>
      </w:pPr>
    </w:p>
    <w:p w:rsidR="00D03E68" w:rsidRDefault="00BB1520" w:rsidP="001E3AC2">
      <w:pPr>
        <w:spacing w:line="360" w:lineRule="auto"/>
        <w:jc w:val="both"/>
        <w:rPr>
          <w:rFonts w:ascii="Bookman Old Style" w:hAnsi="Bookman Old Style" w:cs="Tahoma"/>
          <w:b/>
          <w:sz w:val="28"/>
          <w:szCs w:val="28"/>
          <w:lang w:val="en-GB"/>
        </w:rPr>
      </w:pPr>
      <w:r>
        <w:rPr>
          <w:rFonts w:ascii="Bookman Old Style" w:hAnsi="Bookman Old Style" w:cs="Tahoma"/>
          <w:bCs/>
          <w:sz w:val="28"/>
          <w:szCs w:val="28"/>
          <w:lang w:val="en-GB"/>
        </w:rPr>
        <w:tab/>
        <w:t xml:space="preserve">According to decided cases, the duty of the Courts in the interpretation of statutes is to give effect to the intention of the </w:t>
      </w:r>
      <w:r>
        <w:rPr>
          <w:rFonts w:ascii="Bookman Old Style" w:hAnsi="Bookman Old Style" w:cs="Tahoma"/>
          <w:bCs/>
          <w:sz w:val="28"/>
          <w:szCs w:val="28"/>
          <w:lang w:val="en-GB"/>
        </w:rPr>
        <w:lastRenderedPageBreak/>
        <w:t xml:space="preserve">Legislature.  And the primary rule of interpretation of Statutes is that the meaning of any enactment is to be found in the </w:t>
      </w:r>
      <w:r w:rsidR="000C69F4">
        <w:rPr>
          <w:rFonts w:ascii="Bookman Old Style" w:hAnsi="Bookman Old Style" w:cs="Tahoma"/>
          <w:bCs/>
          <w:sz w:val="28"/>
          <w:szCs w:val="28"/>
          <w:lang w:val="en-GB"/>
        </w:rPr>
        <w:t>literal and plain meaning of the words used, unless this would result in absurdity, in which case the Court’s authority to cure the absurdity is limited.  The Court is entitled to depart from the literal</w:t>
      </w:r>
      <w:r w:rsidR="00FA480F">
        <w:rPr>
          <w:rFonts w:ascii="Bookman Old Style" w:hAnsi="Bookman Old Style" w:cs="Tahoma"/>
          <w:bCs/>
          <w:sz w:val="28"/>
          <w:szCs w:val="28"/>
          <w:lang w:val="en-GB"/>
        </w:rPr>
        <w:t xml:space="preserve"> rule</w:t>
      </w:r>
      <w:r w:rsidR="000C69F4">
        <w:rPr>
          <w:rFonts w:ascii="Bookman Old Style" w:hAnsi="Bookman Old Style" w:cs="Tahoma"/>
          <w:bCs/>
          <w:sz w:val="28"/>
          <w:szCs w:val="28"/>
          <w:lang w:val="en-GB"/>
        </w:rPr>
        <w:t xml:space="preserve"> of interpretation to purposive approach, in order to promote the legislative purpose underlying the provision</w:t>
      </w:r>
      <w:r w:rsidR="008F1A5F">
        <w:rPr>
          <w:rFonts w:ascii="Bookman Old Style" w:hAnsi="Bookman Old Style" w:cs="Tahoma"/>
          <w:bCs/>
          <w:sz w:val="28"/>
          <w:szCs w:val="28"/>
          <w:lang w:val="en-GB"/>
        </w:rPr>
        <w:t>.  Whenever the strict interpretation of a Statute gives rise to unreasonable and unjust situation, Judges can and should, use their common sense to remedy – that is by reading words if necessary – so as to do what Parliament would have done, had they had the situation in mind.  The essence</w:t>
      </w:r>
      <w:r w:rsidR="00D03E68">
        <w:rPr>
          <w:rFonts w:ascii="Bookman Old Style" w:hAnsi="Bookman Old Style" w:cs="Tahoma"/>
          <w:bCs/>
          <w:sz w:val="28"/>
          <w:szCs w:val="28"/>
          <w:lang w:val="en-GB"/>
        </w:rPr>
        <w:t xml:space="preserve"> of purposive interpretation of the Statute is to give effect to its foundational values and objects: </w:t>
      </w:r>
      <w:r w:rsidR="00D03E68">
        <w:rPr>
          <w:rFonts w:ascii="Bookman Old Style" w:hAnsi="Bookman Old Style" w:cs="Tahoma"/>
          <w:b/>
          <w:sz w:val="28"/>
          <w:szCs w:val="28"/>
          <w:lang w:val="en-GB"/>
        </w:rPr>
        <w:t>See the following:-</w:t>
      </w:r>
    </w:p>
    <w:p w:rsidR="00D03E68" w:rsidRPr="00D03E68" w:rsidRDefault="00D03E68" w:rsidP="00D03E68">
      <w:pPr>
        <w:pStyle w:val="ListParagraph"/>
        <w:numPr>
          <w:ilvl w:val="0"/>
          <w:numId w:val="15"/>
        </w:numPr>
        <w:spacing w:line="360" w:lineRule="auto"/>
        <w:jc w:val="both"/>
        <w:rPr>
          <w:rFonts w:ascii="Bookman Old Style" w:hAnsi="Bookman Old Style" w:cs="Tahoma"/>
          <w:bCs/>
          <w:sz w:val="28"/>
          <w:szCs w:val="28"/>
          <w:lang w:val="en-GB"/>
        </w:rPr>
      </w:pPr>
      <w:r>
        <w:rPr>
          <w:rFonts w:ascii="Bookman Old Style" w:hAnsi="Bookman Old Style" w:cs="Tahoma"/>
          <w:b/>
          <w:sz w:val="28"/>
          <w:szCs w:val="28"/>
          <w:u w:val="single"/>
          <w:lang w:val="en-GB"/>
        </w:rPr>
        <w:t>Lewanika v Attorney General</w:t>
      </w:r>
      <w:r>
        <w:rPr>
          <w:rFonts w:ascii="Bookman Old Style" w:hAnsi="Bookman Old Style" w:cs="Tahoma"/>
          <w:b/>
          <w:sz w:val="28"/>
          <w:szCs w:val="28"/>
          <w:lang w:val="en-GB"/>
        </w:rPr>
        <w:t xml:space="preserve"> (6).</w:t>
      </w:r>
    </w:p>
    <w:p w:rsidR="003563DE" w:rsidRDefault="00D03E68" w:rsidP="00D03E68">
      <w:pPr>
        <w:pStyle w:val="ListParagraph"/>
        <w:numPr>
          <w:ilvl w:val="0"/>
          <w:numId w:val="15"/>
        </w:numPr>
        <w:spacing w:line="360" w:lineRule="auto"/>
        <w:jc w:val="both"/>
        <w:rPr>
          <w:rFonts w:ascii="Bookman Old Style" w:hAnsi="Bookman Old Style" w:cs="Tahoma"/>
          <w:bCs/>
          <w:sz w:val="28"/>
          <w:szCs w:val="28"/>
          <w:lang w:val="en-GB"/>
        </w:rPr>
      </w:pPr>
      <w:r>
        <w:rPr>
          <w:rFonts w:ascii="Bookman Old Style" w:hAnsi="Bookman Old Style" w:cs="Tahoma"/>
          <w:b/>
          <w:sz w:val="28"/>
          <w:szCs w:val="28"/>
          <w:u w:val="single"/>
          <w:lang w:val="en-GB"/>
        </w:rPr>
        <w:t xml:space="preserve">Nzowa v Able Construction Limited </w:t>
      </w:r>
      <w:r>
        <w:rPr>
          <w:rFonts w:ascii="Bookman Old Style" w:hAnsi="Bookman Old Style" w:cs="Tahoma"/>
          <w:b/>
          <w:sz w:val="28"/>
          <w:szCs w:val="28"/>
          <w:lang w:val="en-GB"/>
        </w:rPr>
        <w:t>(7)</w:t>
      </w:r>
      <w:r w:rsidR="003563DE">
        <w:rPr>
          <w:rFonts w:ascii="Bookman Old Style" w:hAnsi="Bookman Old Style" w:cs="Tahoma"/>
          <w:bCs/>
          <w:sz w:val="28"/>
          <w:szCs w:val="28"/>
          <w:lang w:val="en-GB"/>
        </w:rPr>
        <w:t>.</w:t>
      </w:r>
    </w:p>
    <w:p w:rsidR="003563DE" w:rsidRDefault="003563DE" w:rsidP="003563DE">
      <w:pPr>
        <w:spacing w:line="360" w:lineRule="auto"/>
        <w:jc w:val="both"/>
        <w:rPr>
          <w:rFonts w:ascii="Bookman Old Style" w:hAnsi="Bookman Old Style" w:cs="Tahoma"/>
          <w:bCs/>
          <w:sz w:val="28"/>
          <w:szCs w:val="28"/>
          <w:lang w:val="en-GB"/>
        </w:rPr>
      </w:pPr>
    </w:p>
    <w:p w:rsidR="003563DE" w:rsidRDefault="003563DE" w:rsidP="001C6467">
      <w:pPr>
        <w:spacing w:line="360" w:lineRule="auto"/>
        <w:ind w:firstLine="720"/>
        <w:jc w:val="both"/>
        <w:rPr>
          <w:rFonts w:ascii="Bookman Old Style" w:hAnsi="Bookman Old Style" w:cs="Tahoma"/>
          <w:b/>
          <w:sz w:val="28"/>
          <w:szCs w:val="28"/>
          <w:lang w:val="en-GB"/>
        </w:rPr>
      </w:pPr>
      <w:r>
        <w:rPr>
          <w:rFonts w:ascii="Bookman Old Style" w:hAnsi="Bookman Old Style" w:cs="Tahoma"/>
          <w:bCs/>
          <w:sz w:val="28"/>
          <w:szCs w:val="28"/>
          <w:lang w:val="en-GB"/>
        </w:rPr>
        <w:t xml:space="preserve">Further, to give effect to the object or purpose of the Statute, all the provisions bearing on a particular subject ought to be brought into view and interpreted together: </w:t>
      </w:r>
      <w:r>
        <w:rPr>
          <w:rFonts w:ascii="Bookman Old Style" w:hAnsi="Bookman Old Style" w:cs="Tahoma"/>
          <w:b/>
          <w:sz w:val="28"/>
          <w:szCs w:val="28"/>
          <w:lang w:val="en-GB"/>
        </w:rPr>
        <w:t>See:-</w:t>
      </w:r>
    </w:p>
    <w:p w:rsidR="003563DE" w:rsidRPr="003563DE" w:rsidRDefault="003563DE" w:rsidP="003563DE">
      <w:pPr>
        <w:pStyle w:val="ListParagraph"/>
        <w:numPr>
          <w:ilvl w:val="0"/>
          <w:numId w:val="16"/>
        </w:numPr>
        <w:spacing w:line="360" w:lineRule="auto"/>
        <w:jc w:val="both"/>
        <w:rPr>
          <w:rFonts w:ascii="Bookman Old Style" w:hAnsi="Bookman Old Style" w:cs="Tahoma"/>
          <w:bCs/>
          <w:sz w:val="28"/>
          <w:szCs w:val="28"/>
          <w:lang w:val="en-GB"/>
        </w:rPr>
      </w:pPr>
      <w:r>
        <w:rPr>
          <w:rFonts w:ascii="Bookman Old Style" w:hAnsi="Bookman Old Style" w:cs="Tahoma"/>
          <w:b/>
          <w:sz w:val="28"/>
          <w:szCs w:val="28"/>
          <w:u w:val="single"/>
          <w:lang w:val="en-GB"/>
        </w:rPr>
        <w:t>State v Petrus &amp; Another</w:t>
      </w:r>
      <w:r>
        <w:rPr>
          <w:rFonts w:ascii="Bookman Old Style" w:hAnsi="Bookman Old Style" w:cs="Tahoma"/>
          <w:b/>
          <w:sz w:val="28"/>
          <w:szCs w:val="28"/>
          <w:lang w:val="en-GB"/>
        </w:rPr>
        <w:t xml:space="preserve"> (8)</w:t>
      </w:r>
    </w:p>
    <w:p w:rsidR="001C6467" w:rsidRPr="001C6467" w:rsidRDefault="003563DE" w:rsidP="003563DE">
      <w:pPr>
        <w:pStyle w:val="ListParagraph"/>
        <w:numPr>
          <w:ilvl w:val="0"/>
          <w:numId w:val="16"/>
        </w:numPr>
        <w:spacing w:line="360" w:lineRule="auto"/>
        <w:jc w:val="both"/>
        <w:rPr>
          <w:rFonts w:ascii="Bookman Old Style" w:hAnsi="Bookman Old Style" w:cs="Tahoma"/>
          <w:bCs/>
          <w:sz w:val="28"/>
          <w:szCs w:val="28"/>
          <w:lang w:val="en-GB"/>
        </w:rPr>
      </w:pPr>
      <w:r>
        <w:rPr>
          <w:rFonts w:ascii="Bookman Old Style" w:hAnsi="Bookman Old Style" w:cs="Tahoma"/>
          <w:b/>
          <w:sz w:val="28"/>
          <w:szCs w:val="28"/>
          <w:u w:val="single"/>
          <w:lang w:val="en-GB"/>
        </w:rPr>
        <w:t>Rafiu Rabiv v S. (9)</w:t>
      </w:r>
      <w:r w:rsidR="001C6467">
        <w:rPr>
          <w:rFonts w:ascii="Bookman Old Style" w:hAnsi="Bookman Old Style" w:cs="Tahoma"/>
          <w:b/>
          <w:sz w:val="28"/>
          <w:szCs w:val="28"/>
          <w:u w:val="single"/>
          <w:lang w:val="en-GB"/>
        </w:rPr>
        <w:t>.</w:t>
      </w:r>
      <w:r>
        <w:rPr>
          <w:rFonts w:ascii="Bookman Old Style" w:hAnsi="Bookman Old Style" w:cs="Tahoma"/>
          <w:b/>
          <w:sz w:val="28"/>
          <w:szCs w:val="28"/>
          <w:u w:val="single"/>
          <w:lang w:val="en-GB"/>
        </w:rPr>
        <w:t xml:space="preserve">  </w:t>
      </w:r>
    </w:p>
    <w:p w:rsidR="001C6467" w:rsidRPr="001C6467" w:rsidRDefault="001C6467" w:rsidP="003563DE">
      <w:pPr>
        <w:pStyle w:val="ListParagraph"/>
        <w:numPr>
          <w:ilvl w:val="0"/>
          <w:numId w:val="16"/>
        </w:numPr>
        <w:spacing w:line="360" w:lineRule="auto"/>
        <w:jc w:val="both"/>
        <w:rPr>
          <w:rFonts w:ascii="Bookman Old Style" w:hAnsi="Bookman Old Style" w:cs="Tahoma"/>
          <w:bCs/>
          <w:sz w:val="28"/>
          <w:szCs w:val="28"/>
          <w:lang w:val="en-GB"/>
        </w:rPr>
      </w:pPr>
      <w:r>
        <w:rPr>
          <w:rFonts w:ascii="Bookman Old Style" w:hAnsi="Bookman Old Style" w:cs="Tahoma"/>
          <w:b/>
          <w:sz w:val="28"/>
          <w:szCs w:val="28"/>
          <w:u w:val="single"/>
          <w:lang w:val="en-GB"/>
        </w:rPr>
        <w:t>Attorney General v Dow</w:t>
      </w:r>
      <w:r>
        <w:rPr>
          <w:rFonts w:ascii="Bookman Old Style" w:hAnsi="Bookman Old Style" w:cs="Tahoma"/>
          <w:b/>
          <w:sz w:val="28"/>
          <w:szCs w:val="28"/>
          <w:lang w:val="en-GB"/>
        </w:rPr>
        <w:t xml:space="preserve"> (10).</w:t>
      </w:r>
    </w:p>
    <w:p w:rsidR="001C6467" w:rsidRPr="001C6467" w:rsidRDefault="001C6467" w:rsidP="003563DE">
      <w:pPr>
        <w:pStyle w:val="ListParagraph"/>
        <w:numPr>
          <w:ilvl w:val="0"/>
          <w:numId w:val="16"/>
        </w:numPr>
        <w:spacing w:line="360" w:lineRule="auto"/>
        <w:jc w:val="both"/>
        <w:rPr>
          <w:rFonts w:ascii="Bookman Old Style" w:hAnsi="Bookman Old Style" w:cs="Tahoma"/>
          <w:bCs/>
          <w:sz w:val="28"/>
          <w:szCs w:val="28"/>
          <w:lang w:val="en-GB"/>
        </w:rPr>
      </w:pPr>
      <w:r>
        <w:rPr>
          <w:rFonts w:ascii="Bookman Old Style" w:hAnsi="Bookman Old Style" w:cs="Tahoma"/>
          <w:b/>
          <w:sz w:val="28"/>
          <w:szCs w:val="28"/>
          <w:u w:val="single"/>
          <w:lang w:val="en-GB"/>
        </w:rPr>
        <w:t>South Dakota v North Carolina</w:t>
      </w:r>
      <w:r>
        <w:rPr>
          <w:rFonts w:ascii="Bookman Old Style" w:hAnsi="Bookman Old Style" w:cs="Tahoma"/>
          <w:b/>
          <w:sz w:val="28"/>
          <w:szCs w:val="28"/>
          <w:lang w:val="en-GB"/>
        </w:rPr>
        <w:t xml:space="preserve"> (11).</w:t>
      </w:r>
      <w:r w:rsidR="003563DE">
        <w:rPr>
          <w:rFonts w:ascii="Bookman Old Style" w:hAnsi="Bookman Old Style" w:cs="Tahoma"/>
          <w:b/>
          <w:sz w:val="28"/>
          <w:szCs w:val="28"/>
          <w:u w:val="single"/>
          <w:lang w:val="en-GB"/>
        </w:rPr>
        <w:t xml:space="preserve"> </w:t>
      </w:r>
    </w:p>
    <w:p w:rsidR="001C6467" w:rsidRDefault="001C6467" w:rsidP="001C6467">
      <w:pPr>
        <w:spacing w:line="360" w:lineRule="auto"/>
        <w:jc w:val="both"/>
        <w:rPr>
          <w:rFonts w:ascii="Bookman Old Style" w:hAnsi="Bookman Old Style" w:cs="Tahoma"/>
          <w:bCs/>
          <w:sz w:val="28"/>
          <w:szCs w:val="28"/>
          <w:lang w:val="en-GB"/>
        </w:rPr>
      </w:pPr>
    </w:p>
    <w:p w:rsidR="00B715A0" w:rsidRDefault="001C6467" w:rsidP="001C646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In the present case, we agree with Mr. Locha that Section 15 (2) of the Act should be read and interpreted together with sub-paragraphs (a), (b) and (c) of paragraph 2 of the second schedule to </w:t>
      </w:r>
      <w:r>
        <w:rPr>
          <w:rFonts w:ascii="Bookman Old Style" w:hAnsi="Bookman Old Style" w:cs="Tahoma"/>
          <w:bCs/>
          <w:sz w:val="28"/>
          <w:szCs w:val="28"/>
          <w:lang w:val="en-GB"/>
        </w:rPr>
        <w:lastRenderedPageBreak/>
        <w:t>the Act and Regulation 18 (1) and (2) of Gazette Notice No. 87 of 1996.  We do so following the several authorities referred to above.  The subject in this case is zero-rating.  And sub-paragraphs (a), (b), (c) and Rule 18 deal with zero-rating.  We accept the submission by Mr. Locha that the intention of Rule 18 of Gazette Notice No. 87 of 1996 was to apply to all taxable suppliers who claim that a particular supply is zero-rated.    Rule 18 (1) and (2) state what should be done for any taxable supplier to qualify for zero-rating.  It requires production of documents.</w:t>
      </w:r>
      <w:r w:rsidR="004C7945">
        <w:rPr>
          <w:rFonts w:ascii="Bookman Old Style" w:hAnsi="Bookman Old Style" w:cs="Tahoma"/>
          <w:bCs/>
          <w:sz w:val="28"/>
          <w:szCs w:val="28"/>
          <w:lang w:val="en-GB"/>
        </w:rPr>
        <w:t xml:space="preserve">  Now, reading and interpreting together sub paragraphs (a), (b), (c) and Regulation 18 (1) and (2), we hold that </w:t>
      </w:r>
      <w:r w:rsidR="002341F4">
        <w:rPr>
          <w:rFonts w:ascii="Bookman Old Style" w:hAnsi="Bookman Old Style" w:cs="Tahoma"/>
          <w:bCs/>
          <w:sz w:val="28"/>
          <w:szCs w:val="28"/>
          <w:lang w:val="en-GB"/>
        </w:rPr>
        <w:t>for the Appellant’s supply of freight services of goods in transit in Zambia to an outside destination, to qualify for zero-rating under sub paragraph (c) of paragraph 2 of the second schedule to the Value Added Tax Act, there must be production of customs acquittal Form CE 20, that the goods</w:t>
      </w:r>
      <w:r w:rsidR="00A61EEB">
        <w:rPr>
          <w:rFonts w:ascii="Bookman Old Style" w:hAnsi="Bookman Old Style" w:cs="Tahoma"/>
          <w:bCs/>
          <w:sz w:val="28"/>
          <w:szCs w:val="28"/>
          <w:lang w:val="en-GB"/>
        </w:rPr>
        <w:t xml:space="preserve"> in question exited Zambia, at Mokambo border post, into Congo D.R.  We do not accept the submission by Mr. Mundashi that sub paragraph (c) should be read in isolation and literally interpreted that the freight service the Appellant supplied in this matter is automatically zero rated; and does not need production of custom acquittal documents showing exiting Zambia, into Congo D.R.   Such an interpretation would produce absurd result, encourage and promote tax evasion.  The objective of the Value Added Tax is </w:t>
      </w:r>
      <w:r w:rsidR="00B715A0">
        <w:rPr>
          <w:rFonts w:ascii="Bookman Old Style" w:hAnsi="Bookman Old Style" w:cs="Tahoma"/>
          <w:bCs/>
          <w:sz w:val="28"/>
          <w:szCs w:val="28"/>
          <w:lang w:val="en-GB"/>
        </w:rPr>
        <w:t>to impose tax on the supply of goods and services in Zambia and the importation of goods into Zambia.  To give the Value Added Tax Act an interpretation that will allow a supplier of services to evade tax, would defeat the objectives of the Act.</w:t>
      </w:r>
    </w:p>
    <w:p w:rsidR="00B715A0" w:rsidRDefault="00B715A0" w:rsidP="001C6467">
      <w:pPr>
        <w:spacing w:line="360" w:lineRule="auto"/>
        <w:ind w:firstLine="720"/>
        <w:jc w:val="both"/>
        <w:rPr>
          <w:rFonts w:ascii="Bookman Old Style" w:hAnsi="Bookman Old Style" w:cs="Tahoma"/>
          <w:bCs/>
          <w:sz w:val="28"/>
          <w:szCs w:val="28"/>
          <w:lang w:val="en-GB"/>
        </w:rPr>
      </w:pPr>
    </w:p>
    <w:p w:rsidR="008F1EA5" w:rsidRPr="00B715A0" w:rsidRDefault="00B715A0" w:rsidP="001C6467">
      <w:pPr>
        <w:spacing w:line="360" w:lineRule="auto"/>
        <w:ind w:firstLine="720"/>
        <w:jc w:val="both"/>
        <w:rPr>
          <w:rFonts w:ascii="Bookman Old Style" w:hAnsi="Bookman Old Style" w:cs="Tahoma"/>
          <w:bCs/>
          <w:sz w:val="28"/>
          <w:szCs w:val="28"/>
          <w:lang w:val="en-GB"/>
        </w:rPr>
      </w:pPr>
      <w:r w:rsidRPr="00B715A0">
        <w:rPr>
          <w:rFonts w:ascii="Bookman Old Style" w:hAnsi="Bookman Old Style" w:cs="Tahoma"/>
          <w:b/>
          <w:sz w:val="28"/>
          <w:szCs w:val="28"/>
          <w:lang w:val="en-GB"/>
        </w:rPr>
        <w:t>For the foregoing reasons, ground two of appeal fails.  In effect, we dismiss the appeal.  We award costs to the Respondent, to be taxed in default of agreement.</w:t>
      </w:r>
      <w:r w:rsidR="00A61EEB" w:rsidRPr="00B715A0">
        <w:rPr>
          <w:rFonts w:ascii="Bookman Old Style" w:hAnsi="Bookman Old Style" w:cs="Tahoma"/>
          <w:b/>
          <w:sz w:val="28"/>
          <w:szCs w:val="28"/>
          <w:lang w:val="en-GB"/>
        </w:rPr>
        <w:t xml:space="preserve"> </w:t>
      </w:r>
      <w:r w:rsidR="003563DE" w:rsidRPr="00B715A0">
        <w:rPr>
          <w:rFonts w:ascii="Bookman Old Style" w:hAnsi="Bookman Old Style" w:cs="Tahoma"/>
          <w:bCs/>
          <w:sz w:val="28"/>
          <w:szCs w:val="28"/>
          <w:lang w:val="en-GB"/>
        </w:rPr>
        <w:t xml:space="preserve">                   </w:t>
      </w:r>
      <w:r w:rsidR="008F1EA5" w:rsidRPr="00B715A0">
        <w:rPr>
          <w:rFonts w:ascii="Bookman Old Style" w:hAnsi="Bookman Old Style" w:cs="Tahoma"/>
          <w:bCs/>
          <w:sz w:val="28"/>
          <w:szCs w:val="28"/>
          <w:lang w:val="en-GB"/>
        </w:rPr>
        <w:t xml:space="preserve"> </w:t>
      </w:r>
    </w:p>
    <w:p w:rsidR="008F1EA5" w:rsidRDefault="008F1EA5" w:rsidP="00BF7539">
      <w:pPr>
        <w:spacing w:line="360" w:lineRule="auto"/>
        <w:jc w:val="both"/>
        <w:rPr>
          <w:rFonts w:ascii="Bookman Old Style" w:hAnsi="Bookman Old Style" w:cs="Tahoma"/>
          <w:bCs/>
          <w:sz w:val="28"/>
          <w:szCs w:val="28"/>
          <w:lang w:val="en-GB"/>
        </w:rPr>
      </w:pPr>
    </w:p>
    <w:p w:rsidR="00B34B2A" w:rsidRPr="00BF7539" w:rsidRDefault="00B34B2A" w:rsidP="008F1EA5">
      <w:pPr>
        <w:spacing w:line="360" w:lineRule="auto"/>
        <w:jc w:val="both"/>
        <w:rPr>
          <w:rFonts w:ascii="Bookman Old Style" w:hAnsi="Bookman Old Style" w:cs="Tahoma"/>
          <w:bCs/>
          <w:sz w:val="28"/>
          <w:szCs w:val="28"/>
          <w:lang w:val="en-GB"/>
        </w:rPr>
      </w:pPr>
    </w:p>
    <w:p w:rsidR="00B34B2A" w:rsidRPr="00B34B2A" w:rsidRDefault="00B34B2A" w:rsidP="00B34B2A">
      <w:pPr>
        <w:spacing w:line="360" w:lineRule="auto"/>
        <w:jc w:val="both"/>
        <w:rPr>
          <w:rFonts w:ascii="Bookman Old Style" w:hAnsi="Bookman Old Style" w:cs="Tahoma"/>
          <w:bCs/>
          <w:sz w:val="28"/>
          <w:szCs w:val="28"/>
          <w:lang w:val="en-GB"/>
        </w:rPr>
      </w:pPr>
    </w:p>
    <w:p w:rsidR="000E788D" w:rsidRPr="007F7F75" w:rsidRDefault="000E788D" w:rsidP="000E788D">
      <w:pPr>
        <w:pStyle w:val="ListParagraph"/>
        <w:spacing w:line="360" w:lineRule="auto"/>
        <w:ind w:left="2159" w:right="864" w:hanging="1065"/>
        <w:jc w:val="both"/>
        <w:rPr>
          <w:rFonts w:ascii="Bookman Old Style" w:hAnsi="Bookman Old Style" w:cs="Tahoma"/>
          <w:b/>
          <w:sz w:val="28"/>
          <w:szCs w:val="28"/>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CF2E89" w:rsidRDefault="00CF2E89"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FA480F" w:rsidRDefault="00FA480F"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BC1588" w:rsidRDefault="00DC58DB" w:rsidP="007B1725">
      <w:pPr>
        <w:ind w:left="2160" w:firstLine="720"/>
        <w:rPr>
          <w:rFonts w:ascii="Tahoma" w:hAnsi="Tahoma" w:cs="Tahoma"/>
          <w:sz w:val="28"/>
        </w:rPr>
      </w:pPr>
      <w:r>
        <w:rPr>
          <w:rFonts w:ascii="Tahoma" w:hAnsi="Tahoma" w:cs="Tahoma"/>
          <w:sz w:val="28"/>
        </w:rPr>
        <w:t>……</w:t>
      </w:r>
      <w:r w:rsidR="00715B2B">
        <w:rPr>
          <w:rFonts w:ascii="Tahoma" w:hAnsi="Tahoma" w:cs="Tahoma"/>
          <w:sz w:val="28"/>
        </w:rPr>
        <w:t>…………………………</w:t>
      </w:r>
      <w:r w:rsidR="00C76DA8">
        <w:rPr>
          <w:rFonts w:ascii="Tahoma" w:hAnsi="Tahoma" w:cs="Tahoma"/>
          <w:sz w:val="28"/>
        </w:rPr>
        <w:t>……</w:t>
      </w:r>
    </w:p>
    <w:p w:rsidR="00273F69" w:rsidRDefault="0006283B" w:rsidP="0006283B">
      <w:pPr>
        <w:ind w:left="2160" w:firstLine="720"/>
        <w:rPr>
          <w:rFonts w:ascii="Tahoma" w:hAnsi="Tahoma" w:cs="Tahoma"/>
          <w:b/>
          <w:sz w:val="28"/>
          <w:u w:val="single"/>
        </w:rPr>
      </w:pPr>
      <w:r>
        <w:rPr>
          <w:rFonts w:ascii="Tahoma" w:hAnsi="Tahoma" w:cs="Tahoma"/>
          <w:b/>
          <w:sz w:val="28"/>
        </w:rPr>
        <w:t xml:space="preserve">  L</w:t>
      </w:r>
      <w:r w:rsidR="00273F69">
        <w:rPr>
          <w:rFonts w:ascii="Tahoma" w:hAnsi="Tahoma" w:cs="Tahoma"/>
          <w:b/>
          <w:sz w:val="28"/>
        </w:rPr>
        <w:t xml:space="preserve">. </w:t>
      </w:r>
      <w:r>
        <w:rPr>
          <w:rFonts w:ascii="Tahoma" w:hAnsi="Tahoma" w:cs="Tahoma"/>
          <w:b/>
          <w:sz w:val="28"/>
        </w:rPr>
        <w:t>P</w:t>
      </w:r>
      <w:r w:rsidR="00273F69">
        <w:rPr>
          <w:rFonts w:ascii="Tahoma" w:hAnsi="Tahoma" w:cs="Tahoma"/>
          <w:b/>
          <w:sz w:val="28"/>
        </w:rPr>
        <w:t>. CHI</w:t>
      </w:r>
      <w:r>
        <w:rPr>
          <w:rFonts w:ascii="Tahoma" w:hAnsi="Tahoma" w:cs="Tahoma"/>
          <w:b/>
          <w:sz w:val="28"/>
        </w:rPr>
        <w:t>BESAKUNDA</w:t>
      </w:r>
    </w:p>
    <w:p w:rsidR="00BC1588" w:rsidRDefault="00D473AB" w:rsidP="00273F69">
      <w:pPr>
        <w:ind w:left="2880"/>
        <w:rPr>
          <w:rFonts w:ascii="Tahoma" w:hAnsi="Tahoma" w:cs="Tahoma"/>
          <w:b/>
          <w:sz w:val="28"/>
          <w:u w:val="single"/>
        </w:rPr>
      </w:pPr>
      <w:r>
        <w:rPr>
          <w:rFonts w:ascii="Tahoma" w:hAnsi="Tahoma" w:cs="Tahoma"/>
          <w:b/>
          <w:sz w:val="28"/>
          <w:u w:val="single"/>
        </w:rPr>
        <w:t>SUPREME COURT JUDGE</w:t>
      </w:r>
    </w:p>
    <w:p w:rsidR="00BC1588" w:rsidRDefault="00BC1588" w:rsidP="00BC1588">
      <w:pPr>
        <w:spacing w:line="360" w:lineRule="auto"/>
        <w:ind w:firstLine="720"/>
        <w:rPr>
          <w:rFonts w:ascii="Tahoma" w:hAnsi="Tahoma" w:cs="Tahoma"/>
          <w:b/>
          <w:sz w:val="28"/>
          <w:u w:val="single"/>
        </w:rPr>
      </w:pPr>
    </w:p>
    <w:p w:rsidR="005D7E18" w:rsidRPr="00900BFC" w:rsidRDefault="005D7E18" w:rsidP="00BC1588">
      <w:pPr>
        <w:spacing w:line="360" w:lineRule="auto"/>
        <w:ind w:firstLine="720"/>
        <w:rPr>
          <w:rFonts w:ascii="Tahoma" w:hAnsi="Tahoma" w:cs="Tahoma"/>
          <w:sz w:val="28"/>
        </w:rPr>
      </w:pPr>
    </w:p>
    <w:p w:rsidR="009B1C6A" w:rsidRPr="00900BFC" w:rsidRDefault="009B1C6A" w:rsidP="007B1725">
      <w:pPr>
        <w:spacing w:line="360" w:lineRule="auto"/>
        <w:ind w:firstLine="720"/>
        <w:jc w:val="center"/>
        <w:rPr>
          <w:rFonts w:ascii="Tahoma" w:hAnsi="Tahoma" w:cs="Tahoma"/>
          <w:sz w:val="28"/>
        </w:rPr>
      </w:pPr>
    </w:p>
    <w:p w:rsidR="00BC1588" w:rsidRDefault="00BC1588" w:rsidP="00BC1588">
      <w:pPr>
        <w:spacing w:line="360" w:lineRule="auto"/>
        <w:ind w:firstLine="720"/>
        <w:rPr>
          <w:rFonts w:ascii="Tahoma" w:hAnsi="Tahoma" w:cs="Tahoma"/>
          <w:sz w:val="28"/>
        </w:rPr>
      </w:pPr>
    </w:p>
    <w:p w:rsidR="001A35AD" w:rsidRPr="00900BFC" w:rsidRDefault="001A35AD" w:rsidP="00BC1588">
      <w:pPr>
        <w:spacing w:line="360" w:lineRule="auto"/>
        <w:ind w:firstLine="720"/>
        <w:rPr>
          <w:rFonts w:ascii="Tahoma" w:hAnsi="Tahoma" w:cs="Tahoma"/>
          <w:sz w:val="28"/>
        </w:rPr>
      </w:pPr>
    </w:p>
    <w:p w:rsidR="00BC1588" w:rsidRDefault="00715B2B" w:rsidP="00715B2B">
      <w:pPr>
        <w:ind w:firstLine="720"/>
        <w:jc w:val="center"/>
        <w:rPr>
          <w:rFonts w:ascii="Tahoma" w:hAnsi="Tahoma" w:cs="Tahoma"/>
          <w:sz w:val="28"/>
        </w:rPr>
      </w:pPr>
      <w:r>
        <w:rPr>
          <w:rFonts w:ascii="Tahoma" w:hAnsi="Tahoma" w:cs="Tahoma"/>
          <w:sz w:val="28"/>
        </w:rPr>
        <w:t>…………………………………</w:t>
      </w:r>
    </w:p>
    <w:p w:rsidR="00BC1588" w:rsidRDefault="0006283B" w:rsidP="0006283B">
      <w:pPr>
        <w:ind w:firstLine="720"/>
        <w:jc w:val="center"/>
        <w:rPr>
          <w:rFonts w:ascii="Tahoma" w:hAnsi="Tahoma" w:cs="Tahoma"/>
          <w:b/>
          <w:sz w:val="28"/>
        </w:rPr>
      </w:pPr>
      <w:r>
        <w:rPr>
          <w:rFonts w:ascii="Tahoma" w:hAnsi="Tahoma" w:cs="Tahoma"/>
          <w:b/>
          <w:sz w:val="28"/>
        </w:rPr>
        <w:t>S.S. SILOMBA</w:t>
      </w:r>
    </w:p>
    <w:p w:rsidR="00AD4868" w:rsidRDefault="00BC1588" w:rsidP="00715B2B">
      <w:pPr>
        <w:ind w:firstLine="720"/>
        <w:jc w:val="center"/>
        <w:rPr>
          <w:rFonts w:ascii="Tahoma" w:hAnsi="Tahoma" w:cs="Tahoma"/>
          <w:b/>
          <w:sz w:val="28"/>
          <w:u w:val="single"/>
        </w:rPr>
      </w:pPr>
      <w:r>
        <w:rPr>
          <w:rFonts w:ascii="Tahoma" w:hAnsi="Tahoma" w:cs="Tahoma"/>
          <w:b/>
          <w:sz w:val="28"/>
          <w:u w:val="single"/>
        </w:rPr>
        <w:t>SUPREME COURT JUDGE</w:t>
      </w:r>
    </w:p>
    <w:p w:rsidR="00715B2B" w:rsidRPr="009B1C6A" w:rsidRDefault="00715B2B"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1A35AD" w:rsidRPr="009B1C6A" w:rsidRDefault="001A35AD" w:rsidP="00715B2B">
      <w:pPr>
        <w:ind w:firstLine="720"/>
        <w:jc w:val="center"/>
        <w:rPr>
          <w:rFonts w:ascii="Tahoma" w:hAnsi="Tahoma" w:cs="Tahoma"/>
          <w:sz w:val="28"/>
        </w:rPr>
      </w:pPr>
    </w:p>
    <w:p w:rsidR="00715B2B" w:rsidRPr="00900BFC" w:rsidRDefault="00715B2B" w:rsidP="00715B2B">
      <w:pPr>
        <w:ind w:firstLine="720"/>
        <w:jc w:val="center"/>
        <w:rPr>
          <w:rFonts w:ascii="Tahoma" w:hAnsi="Tahoma" w:cs="Tahoma"/>
          <w:sz w:val="28"/>
        </w:rPr>
      </w:pPr>
    </w:p>
    <w:p w:rsidR="00715B2B" w:rsidRDefault="00715B2B" w:rsidP="00715B2B">
      <w:pPr>
        <w:ind w:firstLine="720"/>
        <w:jc w:val="center"/>
        <w:rPr>
          <w:rFonts w:ascii="Tahoma" w:hAnsi="Tahoma" w:cs="Tahoma"/>
          <w:b/>
          <w:sz w:val="28"/>
          <w:u w:val="single"/>
        </w:rPr>
      </w:pPr>
    </w:p>
    <w:p w:rsidR="00CF2E89" w:rsidRDefault="00CF2E89" w:rsidP="00715B2B">
      <w:pPr>
        <w:ind w:firstLine="720"/>
        <w:jc w:val="center"/>
        <w:rPr>
          <w:rFonts w:ascii="Tahoma" w:hAnsi="Tahoma" w:cs="Tahoma"/>
          <w:b/>
          <w:sz w:val="28"/>
          <w:u w:val="single"/>
        </w:rPr>
      </w:pPr>
    </w:p>
    <w:p w:rsidR="00715B2B" w:rsidRDefault="00715B2B" w:rsidP="00715B2B">
      <w:pPr>
        <w:ind w:firstLine="720"/>
        <w:jc w:val="center"/>
        <w:rPr>
          <w:rFonts w:ascii="Tahoma" w:hAnsi="Tahoma" w:cs="Tahoma"/>
          <w:sz w:val="28"/>
        </w:rPr>
      </w:pPr>
    </w:p>
    <w:p w:rsidR="00273F69" w:rsidRDefault="00273F69" w:rsidP="00273F69">
      <w:pPr>
        <w:ind w:left="2160" w:firstLine="720"/>
        <w:rPr>
          <w:rFonts w:ascii="Tahoma" w:hAnsi="Tahoma" w:cs="Tahoma"/>
          <w:sz w:val="28"/>
        </w:rPr>
      </w:pPr>
      <w:r>
        <w:rPr>
          <w:rFonts w:ascii="Tahoma" w:hAnsi="Tahoma" w:cs="Tahoma"/>
          <w:sz w:val="28"/>
        </w:rPr>
        <w:t>………………………………………</w:t>
      </w:r>
    </w:p>
    <w:p w:rsidR="00273F69" w:rsidRDefault="00273F69" w:rsidP="00273F69">
      <w:pPr>
        <w:ind w:left="2880"/>
        <w:rPr>
          <w:rFonts w:ascii="Tahoma" w:hAnsi="Tahoma" w:cs="Tahoma"/>
          <w:b/>
          <w:sz w:val="28"/>
        </w:rPr>
      </w:pPr>
      <w:r>
        <w:rPr>
          <w:rFonts w:ascii="Tahoma" w:hAnsi="Tahoma" w:cs="Tahoma"/>
          <w:b/>
          <w:sz w:val="28"/>
        </w:rPr>
        <w:t>M. S. MWANAMWAMBWA</w:t>
      </w:r>
    </w:p>
    <w:p w:rsidR="00273F69" w:rsidRDefault="00273F69" w:rsidP="00273F69">
      <w:pPr>
        <w:ind w:left="2160" w:firstLine="720"/>
        <w:rPr>
          <w:rFonts w:ascii="Tahoma" w:hAnsi="Tahoma" w:cs="Tahoma"/>
          <w:b/>
          <w:sz w:val="28"/>
          <w:u w:val="single"/>
        </w:rPr>
      </w:pPr>
      <w:r>
        <w:rPr>
          <w:rFonts w:ascii="Tahoma" w:hAnsi="Tahoma" w:cs="Tahoma"/>
          <w:b/>
          <w:sz w:val="28"/>
          <w:u w:val="single"/>
        </w:rPr>
        <w:t>SUPREME COURT JUDGE</w:t>
      </w:r>
    </w:p>
    <w:p w:rsidR="00273F69" w:rsidRDefault="00273F69" w:rsidP="00273F69">
      <w:pPr>
        <w:spacing w:line="360" w:lineRule="auto"/>
        <w:ind w:firstLine="720"/>
        <w:rPr>
          <w:rFonts w:ascii="Tahoma" w:hAnsi="Tahoma" w:cs="Tahoma"/>
          <w:b/>
          <w:sz w:val="28"/>
          <w:u w:val="single"/>
        </w:rPr>
      </w:pPr>
    </w:p>
    <w:p w:rsidR="00273F69" w:rsidRDefault="00273F69" w:rsidP="00715B2B">
      <w:pPr>
        <w:ind w:firstLine="720"/>
        <w:jc w:val="center"/>
        <w:rPr>
          <w:rFonts w:ascii="Tahoma" w:hAnsi="Tahoma" w:cs="Tahoma"/>
          <w:sz w:val="28"/>
        </w:rPr>
      </w:pPr>
    </w:p>
    <w:sectPr w:rsidR="00273F69" w:rsidSect="000C1C2D">
      <w:headerReference w:type="even" r:id="rId8"/>
      <w:headerReference w:type="default" r:id="rId9"/>
      <w:pgSz w:w="12240" w:h="15840"/>
      <w:pgMar w:top="1440" w:right="864" w:bottom="864"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2EC" w:rsidRDefault="008D52EC">
      <w:r>
        <w:separator/>
      </w:r>
    </w:p>
  </w:endnote>
  <w:endnote w:type="continuationSeparator" w:id="1">
    <w:p w:rsidR="008D52EC" w:rsidRDefault="008D52EC">
      <w:r>
        <w:continuationSeparator/>
      </w:r>
    </w:p>
  </w:endnote>
</w:endnotes>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2EC" w:rsidRDefault="008D52EC">
      <w:r>
        <w:separator/>
      </w:r>
    </w:p>
  </w:footnote>
  <w:footnote w:type="continuationSeparator" w:id="1">
    <w:p w:rsidR="008D52EC" w:rsidRDefault="008D5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BA7E9D">
    <w:pPr>
      <w:pStyle w:val="Header"/>
      <w:framePr w:wrap="around" w:vAnchor="text" w:hAnchor="margin" w:xAlign="center" w:y="1"/>
      <w:rPr>
        <w:rStyle w:val="PageNumber"/>
      </w:rPr>
    </w:pPr>
    <w:r>
      <w:rPr>
        <w:rStyle w:val="PageNumber"/>
      </w:rPr>
      <w:fldChar w:fldCharType="begin"/>
    </w:r>
    <w:r w:rsidR="00106DEB">
      <w:rPr>
        <w:rStyle w:val="PageNumber"/>
      </w:rPr>
      <w:instrText xml:space="preserve">PAGE  </w:instrText>
    </w:r>
    <w:r>
      <w:rPr>
        <w:rStyle w:val="PageNumber"/>
      </w:rPr>
      <w:fldChar w:fldCharType="end"/>
    </w:r>
  </w:p>
  <w:p w:rsidR="00106DEB" w:rsidRDefault="00106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106DEB">
    <w:pPr>
      <w:pStyle w:val="Header"/>
      <w:framePr w:wrap="around" w:vAnchor="text" w:hAnchor="margin" w:xAlign="center" w:y="1"/>
      <w:rPr>
        <w:rStyle w:val="PageNumber"/>
        <w:b/>
        <w:bCs/>
        <w:i/>
        <w:iCs/>
        <w:sz w:val="32"/>
      </w:rPr>
    </w:pPr>
    <w:r>
      <w:rPr>
        <w:rStyle w:val="PageNumber"/>
        <w:b/>
        <w:bCs/>
        <w:i/>
        <w:iCs/>
        <w:sz w:val="32"/>
      </w:rPr>
      <w:t xml:space="preserve"> - J</w:t>
    </w:r>
    <w:r w:rsidR="00BA7E9D">
      <w:rPr>
        <w:rStyle w:val="PageNumber"/>
        <w:b/>
        <w:bCs/>
        <w:i/>
        <w:iCs/>
        <w:sz w:val="32"/>
      </w:rPr>
      <w:fldChar w:fldCharType="begin"/>
    </w:r>
    <w:r>
      <w:rPr>
        <w:rStyle w:val="PageNumber"/>
        <w:b/>
        <w:bCs/>
        <w:i/>
        <w:iCs/>
        <w:sz w:val="32"/>
      </w:rPr>
      <w:instrText xml:space="preserve">PAGE  </w:instrText>
    </w:r>
    <w:r w:rsidR="00BA7E9D">
      <w:rPr>
        <w:rStyle w:val="PageNumber"/>
        <w:b/>
        <w:bCs/>
        <w:i/>
        <w:iCs/>
        <w:sz w:val="32"/>
      </w:rPr>
      <w:fldChar w:fldCharType="separate"/>
    </w:r>
    <w:r w:rsidR="00957040">
      <w:rPr>
        <w:rStyle w:val="PageNumber"/>
        <w:b/>
        <w:bCs/>
        <w:i/>
        <w:iCs/>
        <w:noProof/>
        <w:sz w:val="32"/>
      </w:rPr>
      <w:t>22</w:t>
    </w:r>
    <w:r w:rsidR="00BA7E9D">
      <w:rPr>
        <w:rStyle w:val="PageNumber"/>
        <w:b/>
        <w:bCs/>
        <w:i/>
        <w:iCs/>
        <w:sz w:val="32"/>
      </w:rPr>
      <w:fldChar w:fldCharType="end"/>
    </w:r>
    <w:r>
      <w:rPr>
        <w:rStyle w:val="PageNumber"/>
        <w:b/>
        <w:bCs/>
        <w:i/>
        <w:iCs/>
        <w:sz w:val="32"/>
      </w:rPr>
      <w:t xml:space="preserve"> -</w:t>
    </w:r>
  </w:p>
  <w:p w:rsidR="00106DEB" w:rsidRPr="00322933" w:rsidRDefault="00106DEB" w:rsidP="00322933">
    <w:pPr>
      <w:pStyle w:val="Header"/>
      <w:jc w:val="right"/>
      <w:rPr>
        <w:rFonts w:ascii="Tahoma" w:hAnsi="Tahoma" w:cs="Tahoma"/>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15D"/>
    <w:multiLevelType w:val="hybridMultilevel"/>
    <w:tmpl w:val="85A0C340"/>
    <w:lvl w:ilvl="0" w:tplc="68064806">
      <w:start w:val="1"/>
      <w:numFmt w:val="lowerLetter"/>
      <w:lvlText w:val="(%1)"/>
      <w:lvlJc w:val="left"/>
      <w:pPr>
        <w:ind w:left="1095" w:hanging="375"/>
      </w:pPr>
      <w:rPr>
        <w:rFonts w:ascii="Arial Rounded MT Bold" w:hAnsi="Arial Rounded MT Bol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7594B"/>
    <w:multiLevelType w:val="hybridMultilevel"/>
    <w:tmpl w:val="184A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D183C"/>
    <w:multiLevelType w:val="hybridMultilevel"/>
    <w:tmpl w:val="054EE7D0"/>
    <w:lvl w:ilvl="0" w:tplc="ED7A1D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2B7A59"/>
    <w:multiLevelType w:val="hybridMultilevel"/>
    <w:tmpl w:val="41A4C36C"/>
    <w:lvl w:ilvl="0" w:tplc="89BA35CC">
      <w:start w:val="1"/>
      <w:numFmt w:val="lowerLetter"/>
      <w:lvlText w:val="(%1)"/>
      <w:lvlJc w:val="left"/>
      <w:pPr>
        <w:ind w:left="2580" w:hanging="375"/>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
    <w:nsid w:val="1471717A"/>
    <w:multiLevelType w:val="hybridMultilevel"/>
    <w:tmpl w:val="C4AE0072"/>
    <w:lvl w:ilvl="0" w:tplc="7FDA4F68">
      <w:start w:val="1"/>
      <w:numFmt w:val="decimal"/>
      <w:lvlText w:val="%1."/>
      <w:lvlJc w:val="left"/>
      <w:pPr>
        <w:ind w:left="1440" w:hanging="720"/>
      </w:pPr>
      <w:rPr>
        <w:rFonts w:ascii="Arial Rounded MT Bold" w:eastAsia="Times New Roman" w:hAnsi="Arial Rounded MT Bold"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F77C8"/>
    <w:multiLevelType w:val="hybridMultilevel"/>
    <w:tmpl w:val="B7FA6AE0"/>
    <w:lvl w:ilvl="0" w:tplc="7F00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7B1C2E"/>
    <w:multiLevelType w:val="hybridMultilevel"/>
    <w:tmpl w:val="62CEF768"/>
    <w:lvl w:ilvl="0" w:tplc="C4F48052">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7">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34C2F"/>
    <w:multiLevelType w:val="hybridMultilevel"/>
    <w:tmpl w:val="51B4C8D0"/>
    <w:lvl w:ilvl="0" w:tplc="B1C8D9F0">
      <w:start w:val="1"/>
      <w:numFmt w:val="lowerLetter"/>
      <w:lvlText w:val="(%1)"/>
      <w:lvlJc w:val="left"/>
      <w:pPr>
        <w:ind w:left="1815" w:hanging="375"/>
      </w:pPr>
      <w:rPr>
        <w:rFonts w:ascii="Arial Rounded MT Bold" w:hAnsi="Arial Rounded MT Bold"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60265F"/>
    <w:multiLevelType w:val="hybridMultilevel"/>
    <w:tmpl w:val="B54229A0"/>
    <w:lvl w:ilvl="0" w:tplc="86F60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21BD0"/>
    <w:multiLevelType w:val="hybridMultilevel"/>
    <w:tmpl w:val="39FE3A24"/>
    <w:lvl w:ilvl="0" w:tplc="48C2CE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536845"/>
    <w:multiLevelType w:val="hybridMultilevel"/>
    <w:tmpl w:val="EB325BE0"/>
    <w:lvl w:ilvl="0" w:tplc="18B4F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B32971"/>
    <w:multiLevelType w:val="hybridMultilevel"/>
    <w:tmpl w:val="CE204D72"/>
    <w:lvl w:ilvl="0" w:tplc="97A0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A31DAA"/>
    <w:multiLevelType w:val="hybridMultilevel"/>
    <w:tmpl w:val="C74C27CC"/>
    <w:lvl w:ilvl="0" w:tplc="74881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F2052"/>
    <w:multiLevelType w:val="hybridMultilevel"/>
    <w:tmpl w:val="E4820692"/>
    <w:lvl w:ilvl="0" w:tplc="14C2D1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3B10E4"/>
    <w:multiLevelType w:val="hybridMultilevel"/>
    <w:tmpl w:val="37CA973E"/>
    <w:lvl w:ilvl="0" w:tplc="DF54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12"/>
  </w:num>
  <w:num w:numId="5">
    <w:abstractNumId w:val="14"/>
  </w:num>
  <w:num w:numId="6">
    <w:abstractNumId w:val="3"/>
  </w:num>
  <w:num w:numId="7">
    <w:abstractNumId w:val="11"/>
  </w:num>
  <w:num w:numId="8">
    <w:abstractNumId w:val="4"/>
  </w:num>
  <w:num w:numId="9">
    <w:abstractNumId w:val="13"/>
  </w:num>
  <w:num w:numId="10">
    <w:abstractNumId w:val="5"/>
  </w:num>
  <w:num w:numId="11">
    <w:abstractNumId w:val="15"/>
  </w:num>
  <w:num w:numId="12">
    <w:abstractNumId w:val="9"/>
  </w:num>
  <w:num w:numId="13">
    <w:abstractNumId w:val="0"/>
  </w:num>
  <w:num w:numId="14">
    <w:abstractNumId w:val="6"/>
  </w:num>
  <w:num w:numId="15">
    <w:abstractNumId w:val="10"/>
  </w:num>
  <w:num w:numId="1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hdrShapeDefaults>
    <o:shapedefaults v:ext="edit" spidmax="69634"/>
  </w:hdrShapeDefaults>
  <w:footnotePr>
    <w:footnote w:id="0"/>
    <w:footnote w:id="1"/>
  </w:footnotePr>
  <w:endnotePr>
    <w:endnote w:id="0"/>
    <w:endnote w:id="1"/>
  </w:endnotePr>
  <w:compat/>
  <w:rsids>
    <w:rsidRoot w:val="00136BA5"/>
    <w:rsid w:val="0000097F"/>
    <w:rsid w:val="00004785"/>
    <w:rsid w:val="000051E3"/>
    <w:rsid w:val="00007476"/>
    <w:rsid w:val="00007748"/>
    <w:rsid w:val="000143BC"/>
    <w:rsid w:val="00017E40"/>
    <w:rsid w:val="00037761"/>
    <w:rsid w:val="0004071E"/>
    <w:rsid w:val="00040810"/>
    <w:rsid w:val="00040FA3"/>
    <w:rsid w:val="00047351"/>
    <w:rsid w:val="0004796C"/>
    <w:rsid w:val="00050AF7"/>
    <w:rsid w:val="000536FE"/>
    <w:rsid w:val="00053713"/>
    <w:rsid w:val="00053EE1"/>
    <w:rsid w:val="00055B91"/>
    <w:rsid w:val="0006033C"/>
    <w:rsid w:val="0006283B"/>
    <w:rsid w:val="00062BA2"/>
    <w:rsid w:val="000640C4"/>
    <w:rsid w:val="00070D2E"/>
    <w:rsid w:val="00071333"/>
    <w:rsid w:val="0007212D"/>
    <w:rsid w:val="00072596"/>
    <w:rsid w:val="00072625"/>
    <w:rsid w:val="0007701C"/>
    <w:rsid w:val="000932A1"/>
    <w:rsid w:val="00093EFA"/>
    <w:rsid w:val="0009563F"/>
    <w:rsid w:val="00095B54"/>
    <w:rsid w:val="000A02AF"/>
    <w:rsid w:val="000A139E"/>
    <w:rsid w:val="000A1C02"/>
    <w:rsid w:val="000A4B16"/>
    <w:rsid w:val="000B36D2"/>
    <w:rsid w:val="000B7F0B"/>
    <w:rsid w:val="000C1C2D"/>
    <w:rsid w:val="000C3DB0"/>
    <w:rsid w:val="000C42F0"/>
    <w:rsid w:val="000C69F4"/>
    <w:rsid w:val="000D4850"/>
    <w:rsid w:val="000D756D"/>
    <w:rsid w:val="000E2910"/>
    <w:rsid w:val="000E708B"/>
    <w:rsid w:val="000E788D"/>
    <w:rsid w:val="00101E19"/>
    <w:rsid w:val="001024E5"/>
    <w:rsid w:val="00105314"/>
    <w:rsid w:val="00105890"/>
    <w:rsid w:val="00106DEB"/>
    <w:rsid w:val="001135F9"/>
    <w:rsid w:val="0011367E"/>
    <w:rsid w:val="00114AFC"/>
    <w:rsid w:val="00121920"/>
    <w:rsid w:val="00124714"/>
    <w:rsid w:val="00126799"/>
    <w:rsid w:val="001309EC"/>
    <w:rsid w:val="00135644"/>
    <w:rsid w:val="00136BA5"/>
    <w:rsid w:val="00142284"/>
    <w:rsid w:val="00143621"/>
    <w:rsid w:val="001507A4"/>
    <w:rsid w:val="00152DF1"/>
    <w:rsid w:val="00162687"/>
    <w:rsid w:val="001626CC"/>
    <w:rsid w:val="0016299A"/>
    <w:rsid w:val="001656B1"/>
    <w:rsid w:val="00172C4D"/>
    <w:rsid w:val="001740A6"/>
    <w:rsid w:val="00175922"/>
    <w:rsid w:val="00177DDC"/>
    <w:rsid w:val="00183070"/>
    <w:rsid w:val="001857DC"/>
    <w:rsid w:val="00191736"/>
    <w:rsid w:val="0019329F"/>
    <w:rsid w:val="00193A84"/>
    <w:rsid w:val="0019588B"/>
    <w:rsid w:val="001A09A9"/>
    <w:rsid w:val="001A159C"/>
    <w:rsid w:val="001A2FD8"/>
    <w:rsid w:val="001A35AD"/>
    <w:rsid w:val="001B3778"/>
    <w:rsid w:val="001B5348"/>
    <w:rsid w:val="001C45A2"/>
    <w:rsid w:val="001C5D5A"/>
    <w:rsid w:val="001C6455"/>
    <w:rsid w:val="001C6467"/>
    <w:rsid w:val="001C64A1"/>
    <w:rsid w:val="001C6967"/>
    <w:rsid w:val="001C7FB7"/>
    <w:rsid w:val="001D08D9"/>
    <w:rsid w:val="001D0C37"/>
    <w:rsid w:val="001D41BA"/>
    <w:rsid w:val="001D5693"/>
    <w:rsid w:val="001E04B0"/>
    <w:rsid w:val="001E1686"/>
    <w:rsid w:val="001E3AC2"/>
    <w:rsid w:val="001E6481"/>
    <w:rsid w:val="001E7510"/>
    <w:rsid w:val="001E7912"/>
    <w:rsid w:val="001F0FCB"/>
    <w:rsid w:val="001F19B4"/>
    <w:rsid w:val="001F2505"/>
    <w:rsid w:val="001F5429"/>
    <w:rsid w:val="001F5B37"/>
    <w:rsid w:val="001F7B3F"/>
    <w:rsid w:val="0020436E"/>
    <w:rsid w:val="00206A64"/>
    <w:rsid w:val="0020753F"/>
    <w:rsid w:val="00212700"/>
    <w:rsid w:val="00212D23"/>
    <w:rsid w:val="00213BA5"/>
    <w:rsid w:val="00213E79"/>
    <w:rsid w:val="00220683"/>
    <w:rsid w:val="00220D5A"/>
    <w:rsid w:val="002218EF"/>
    <w:rsid w:val="0022724A"/>
    <w:rsid w:val="002320E5"/>
    <w:rsid w:val="002341F4"/>
    <w:rsid w:val="002358C2"/>
    <w:rsid w:val="00235C25"/>
    <w:rsid w:val="00235E48"/>
    <w:rsid w:val="00237BD4"/>
    <w:rsid w:val="002414F8"/>
    <w:rsid w:val="00250D01"/>
    <w:rsid w:val="00250FB6"/>
    <w:rsid w:val="0025787C"/>
    <w:rsid w:val="00261918"/>
    <w:rsid w:val="0026217D"/>
    <w:rsid w:val="0026304F"/>
    <w:rsid w:val="0026629F"/>
    <w:rsid w:val="00273F69"/>
    <w:rsid w:val="00276219"/>
    <w:rsid w:val="00276C1F"/>
    <w:rsid w:val="002821C0"/>
    <w:rsid w:val="00283686"/>
    <w:rsid w:val="00283B08"/>
    <w:rsid w:val="002848DC"/>
    <w:rsid w:val="00284B59"/>
    <w:rsid w:val="00285631"/>
    <w:rsid w:val="002865FC"/>
    <w:rsid w:val="00292A2B"/>
    <w:rsid w:val="00293ED4"/>
    <w:rsid w:val="00297530"/>
    <w:rsid w:val="002975EB"/>
    <w:rsid w:val="00297D85"/>
    <w:rsid w:val="002A0A5C"/>
    <w:rsid w:val="002A26B6"/>
    <w:rsid w:val="002A31D5"/>
    <w:rsid w:val="002A461C"/>
    <w:rsid w:val="002A5547"/>
    <w:rsid w:val="002A7DCB"/>
    <w:rsid w:val="002B09FB"/>
    <w:rsid w:val="002B20A5"/>
    <w:rsid w:val="002B36BA"/>
    <w:rsid w:val="002B4E19"/>
    <w:rsid w:val="002B5018"/>
    <w:rsid w:val="002B52F0"/>
    <w:rsid w:val="002B5F77"/>
    <w:rsid w:val="002B78DC"/>
    <w:rsid w:val="002B7C5F"/>
    <w:rsid w:val="002C05E1"/>
    <w:rsid w:val="002C1F05"/>
    <w:rsid w:val="002D2BE3"/>
    <w:rsid w:val="002D4B2E"/>
    <w:rsid w:val="002D68EA"/>
    <w:rsid w:val="002D7153"/>
    <w:rsid w:val="002D7996"/>
    <w:rsid w:val="002E1A00"/>
    <w:rsid w:val="002E30C4"/>
    <w:rsid w:val="002E38B2"/>
    <w:rsid w:val="002E4F21"/>
    <w:rsid w:val="002E5819"/>
    <w:rsid w:val="002E780A"/>
    <w:rsid w:val="00304CC1"/>
    <w:rsid w:val="00304DCB"/>
    <w:rsid w:val="00307122"/>
    <w:rsid w:val="00310E7E"/>
    <w:rsid w:val="003119DD"/>
    <w:rsid w:val="003133E2"/>
    <w:rsid w:val="00313810"/>
    <w:rsid w:val="00314C32"/>
    <w:rsid w:val="00317F5D"/>
    <w:rsid w:val="003206BF"/>
    <w:rsid w:val="00321576"/>
    <w:rsid w:val="00322933"/>
    <w:rsid w:val="00327D6B"/>
    <w:rsid w:val="0033314D"/>
    <w:rsid w:val="0033430E"/>
    <w:rsid w:val="00334F67"/>
    <w:rsid w:val="00336003"/>
    <w:rsid w:val="003366DC"/>
    <w:rsid w:val="0034178E"/>
    <w:rsid w:val="00344A03"/>
    <w:rsid w:val="00344FA6"/>
    <w:rsid w:val="00346628"/>
    <w:rsid w:val="003557DB"/>
    <w:rsid w:val="003563DE"/>
    <w:rsid w:val="00356A75"/>
    <w:rsid w:val="0036078A"/>
    <w:rsid w:val="00361EEF"/>
    <w:rsid w:val="003661A0"/>
    <w:rsid w:val="00370785"/>
    <w:rsid w:val="00376965"/>
    <w:rsid w:val="00383962"/>
    <w:rsid w:val="00383C8F"/>
    <w:rsid w:val="00392236"/>
    <w:rsid w:val="003933D4"/>
    <w:rsid w:val="003A1DB4"/>
    <w:rsid w:val="003A2AAA"/>
    <w:rsid w:val="003A2ACE"/>
    <w:rsid w:val="003A368C"/>
    <w:rsid w:val="003A4CDD"/>
    <w:rsid w:val="003A61E7"/>
    <w:rsid w:val="003B04F7"/>
    <w:rsid w:val="003B2B06"/>
    <w:rsid w:val="003B45AE"/>
    <w:rsid w:val="003B74A3"/>
    <w:rsid w:val="003C0DA2"/>
    <w:rsid w:val="003C7DDE"/>
    <w:rsid w:val="003D0428"/>
    <w:rsid w:val="003D05F6"/>
    <w:rsid w:val="003D784D"/>
    <w:rsid w:val="003E0985"/>
    <w:rsid w:val="003E131F"/>
    <w:rsid w:val="003E1E16"/>
    <w:rsid w:val="003E4FB0"/>
    <w:rsid w:val="003E73AC"/>
    <w:rsid w:val="003E7700"/>
    <w:rsid w:val="003F0626"/>
    <w:rsid w:val="003F647D"/>
    <w:rsid w:val="00400B7D"/>
    <w:rsid w:val="00401BB7"/>
    <w:rsid w:val="00403F83"/>
    <w:rsid w:val="004055D1"/>
    <w:rsid w:val="004064B1"/>
    <w:rsid w:val="004132D3"/>
    <w:rsid w:val="00414692"/>
    <w:rsid w:val="00416F40"/>
    <w:rsid w:val="0042290D"/>
    <w:rsid w:val="0043019A"/>
    <w:rsid w:val="00431633"/>
    <w:rsid w:val="00432028"/>
    <w:rsid w:val="0043364C"/>
    <w:rsid w:val="004369B0"/>
    <w:rsid w:val="00437CAF"/>
    <w:rsid w:val="00440EA9"/>
    <w:rsid w:val="0044123D"/>
    <w:rsid w:val="00443F30"/>
    <w:rsid w:val="00445E6E"/>
    <w:rsid w:val="0045038D"/>
    <w:rsid w:val="00451810"/>
    <w:rsid w:val="00460F1C"/>
    <w:rsid w:val="0046173A"/>
    <w:rsid w:val="00461F16"/>
    <w:rsid w:val="00462D12"/>
    <w:rsid w:val="00463B78"/>
    <w:rsid w:val="00471AF6"/>
    <w:rsid w:val="00473675"/>
    <w:rsid w:val="00473BD7"/>
    <w:rsid w:val="0047736B"/>
    <w:rsid w:val="00482036"/>
    <w:rsid w:val="00483C2C"/>
    <w:rsid w:val="0048647C"/>
    <w:rsid w:val="004867C6"/>
    <w:rsid w:val="004920AF"/>
    <w:rsid w:val="00494E7D"/>
    <w:rsid w:val="004A0198"/>
    <w:rsid w:val="004A1743"/>
    <w:rsid w:val="004A1AAE"/>
    <w:rsid w:val="004A72D2"/>
    <w:rsid w:val="004B0C26"/>
    <w:rsid w:val="004B54F6"/>
    <w:rsid w:val="004B5637"/>
    <w:rsid w:val="004B5657"/>
    <w:rsid w:val="004B5AD3"/>
    <w:rsid w:val="004B6911"/>
    <w:rsid w:val="004B6EAD"/>
    <w:rsid w:val="004B7FEA"/>
    <w:rsid w:val="004C5A17"/>
    <w:rsid w:val="004C5FD3"/>
    <w:rsid w:val="004C6518"/>
    <w:rsid w:val="004C6A53"/>
    <w:rsid w:val="004C7945"/>
    <w:rsid w:val="004D0554"/>
    <w:rsid w:val="004D2296"/>
    <w:rsid w:val="004D61F9"/>
    <w:rsid w:val="004E2876"/>
    <w:rsid w:val="004E3E67"/>
    <w:rsid w:val="004E4A17"/>
    <w:rsid w:val="004E50E9"/>
    <w:rsid w:val="004F5DB1"/>
    <w:rsid w:val="004F7A92"/>
    <w:rsid w:val="005024CB"/>
    <w:rsid w:val="00503227"/>
    <w:rsid w:val="005037E6"/>
    <w:rsid w:val="005069EE"/>
    <w:rsid w:val="00511615"/>
    <w:rsid w:val="00516D24"/>
    <w:rsid w:val="00516FAA"/>
    <w:rsid w:val="00517C08"/>
    <w:rsid w:val="0052524E"/>
    <w:rsid w:val="005272BD"/>
    <w:rsid w:val="00537E9F"/>
    <w:rsid w:val="00541AF9"/>
    <w:rsid w:val="00543935"/>
    <w:rsid w:val="00543A04"/>
    <w:rsid w:val="00544A79"/>
    <w:rsid w:val="00546632"/>
    <w:rsid w:val="00553A88"/>
    <w:rsid w:val="005543C6"/>
    <w:rsid w:val="00556AB2"/>
    <w:rsid w:val="0055761A"/>
    <w:rsid w:val="0056164E"/>
    <w:rsid w:val="00561C79"/>
    <w:rsid w:val="00562F5C"/>
    <w:rsid w:val="005634CF"/>
    <w:rsid w:val="00564942"/>
    <w:rsid w:val="00564B3A"/>
    <w:rsid w:val="00570697"/>
    <w:rsid w:val="00574B3E"/>
    <w:rsid w:val="00574C3E"/>
    <w:rsid w:val="00575169"/>
    <w:rsid w:val="005806B4"/>
    <w:rsid w:val="00586046"/>
    <w:rsid w:val="00586599"/>
    <w:rsid w:val="00587DDF"/>
    <w:rsid w:val="005902E1"/>
    <w:rsid w:val="00590A92"/>
    <w:rsid w:val="00590D31"/>
    <w:rsid w:val="005950A1"/>
    <w:rsid w:val="00597E89"/>
    <w:rsid w:val="005A06C6"/>
    <w:rsid w:val="005A0A12"/>
    <w:rsid w:val="005A217C"/>
    <w:rsid w:val="005A3042"/>
    <w:rsid w:val="005A727B"/>
    <w:rsid w:val="005A73DC"/>
    <w:rsid w:val="005B0822"/>
    <w:rsid w:val="005B0935"/>
    <w:rsid w:val="005B1A23"/>
    <w:rsid w:val="005B1E09"/>
    <w:rsid w:val="005B2A96"/>
    <w:rsid w:val="005B5BEF"/>
    <w:rsid w:val="005B69D8"/>
    <w:rsid w:val="005C1277"/>
    <w:rsid w:val="005C1434"/>
    <w:rsid w:val="005C35BF"/>
    <w:rsid w:val="005C3AC2"/>
    <w:rsid w:val="005C4F0E"/>
    <w:rsid w:val="005D562D"/>
    <w:rsid w:val="005D7BFC"/>
    <w:rsid w:val="005D7E18"/>
    <w:rsid w:val="005E1687"/>
    <w:rsid w:val="005E4327"/>
    <w:rsid w:val="005E4905"/>
    <w:rsid w:val="005E7098"/>
    <w:rsid w:val="005F7252"/>
    <w:rsid w:val="005F7538"/>
    <w:rsid w:val="005F7B4B"/>
    <w:rsid w:val="00600311"/>
    <w:rsid w:val="00600457"/>
    <w:rsid w:val="00600D7B"/>
    <w:rsid w:val="00601231"/>
    <w:rsid w:val="006028E0"/>
    <w:rsid w:val="006046DC"/>
    <w:rsid w:val="006107F2"/>
    <w:rsid w:val="006114D3"/>
    <w:rsid w:val="00611974"/>
    <w:rsid w:val="00612FFD"/>
    <w:rsid w:val="00616129"/>
    <w:rsid w:val="0062147D"/>
    <w:rsid w:val="006219BE"/>
    <w:rsid w:val="0062236C"/>
    <w:rsid w:val="00622825"/>
    <w:rsid w:val="00622AE6"/>
    <w:rsid w:val="00624154"/>
    <w:rsid w:val="00627840"/>
    <w:rsid w:val="00630A33"/>
    <w:rsid w:val="00631F3A"/>
    <w:rsid w:val="00633EEE"/>
    <w:rsid w:val="0064026E"/>
    <w:rsid w:val="006419D8"/>
    <w:rsid w:val="00642531"/>
    <w:rsid w:val="0064354E"/>
    <w:rsid w:val="00644318"/>
    <w:rsid w:val="00644932"/>
    <w:rsid w:val="006467B9"/>
    <w:rsid w:val="006518FD"/>
    <w:rsid w:val="00651C9B"/>
    <w:rsid w:val="00655010"/>
    <w:rsid w:val="006609B2"/>
    <w:rsid w:val="00663BEC"/>
    <w:rsid w:val="00664EB1"/>
    <w:rsid w:val="006662B7"/>
    <w:rsid w:val="006667A2"/>
    <w:rsid w:val="0067127A"/>
    <w:rsid w:val="00673666"/>
    <w:rsid w:val="00675483"/>
    <w:rsid w:val="006777D1"/>
    <w:rsid w:val="006801E9"/>
    <w:rsid w:val="006807C2"/>
    <w:rsid w:val="00681345"/>
    <w:rsid w:val="006817CA"/>
    <w:rsid w:val="0068215C"/>
    <w:rsid w:val="00682B0B"/>
    <w:rsid w:val="00685E78"/>
    <w:rsid w:val="00687029"/>
    <w:rsid w:val="0068756C"/>
    <w:rsid w:val="00687C87"/>
    <w:rsid w:val="00690B22"/>
    <w:rsid w:val="00691378"/>
    <w:rsid w:val="006935C5"/>
    <w:rsid w:val="00694808"/>
    <w:rsid w:val="006A089B"/>
    <w:rsid w:val="006A1BD1"/>
    <w:rsid w:val="006A1E0C"/>
    <w:rsid w:val="006A2599"/>
    <w:rsid w:val="006A2F29"/>
    <w:rsid w:val="006A430C"/>
    <w:rsid w:val="006A63AE"/>
    <w:rsid w:val="006A6869"/>
    <w:rsid w:val="006A74CD"/>
    <w:rsid w:val="006B0910"/>
    <w:rsid w:val="006B7539"/>
    <w:rsid w:val="006C314B"/>
    <w:rsid w:val="006C5574"/>
    <w:rsid w:val="006C5966"/>
    <w:rsid w:val="006C5EEC"/>
    <w:rsid w:val="006C6F2B"/>
    <w:rsid w:val="006C7740"/>
    <w:rsid w:val="006D05E3"/>
    <w:rsid w:val="006D2C38"/>
    <w:rsid w:val="006D488D"/>
    <w:rsid w:val="006D4AC6"/>
    <w:rsid w:val="006D4BA2"/>
    <w:rsid w:val="006D4FC3"/>
    <w:rsid w:val="006D5B46"/>
    <w:rsid w:val="006D6F5F"/>
    <w:rsid w:val="006E1973"/>
    <w:rsid w:val="006E2390"/>
    <w:rsid w:val="006E2877"/>
    <w:rsid w:val="006E3E7E"/>
    <w:rsid w:val="006E4103"/>
    <w:rsid w:val="006E73C1"/>
    <w:rsid w:val="006E7442"/>
    <w:rsid w:val="006F0F86"/>
    <w:rsid w:val="006F3174"/>
    <w:rsid w:val="00700159"/>
    <w:rsid w:val="00702F6D"/>
    <w:rsid w:val="007040C9"/>
    <w:rsid w:val="00705764"/>
    <w:rsid w:val="0071236C"/>
    <w:rsid w:val="00713183"/>
    <w:rsid w:val="00715B2B"/>
    <w:rsid w:val="00716AD2"/>
    <w:rsid w:val="0072313F"/>
    <w:rsid w:val="007249B6"/>
    <w:rsid w:val="007260E4"/>
    <w:rsid w:val="00726C78"/>
    <w:rsid w:val="007275A1"/>
    <w:rsid w:val="007350BD"/>
    <w:rsid w:val="0073571E"/>
    <w:rsid w:val="0073739F"/>
    <w:rsid w:val="0073758E"/>
    <w:rsid w:val="0074125B"/>
    <w:rsid w:val="007417C9"/>
    <w:rsid w:val="0074451D"/>
    <w:rsid w:val="00744D5F"/>
    <w:rsid w:val="00752997"/>
    <w:rsid w:val="00757A02"/>
    <w:rsid w:val="00757B30"/>
    <w:rsid w:val="0076142A"/>
    <w:rsid w:val="0076274B"/>
    <w:rsid w:val="007679CB"/>
    <w:rsid w:val="00772426"/>
    <w:rsid w:val="007729C5"/>
    <w:rsid w:val="0078045B"/>
    <w:rsid w:val="00781E8F"/>
    <w:rsid w:val="0078420A"/>
    <w:rsid w:val="007874AE"/>
    <w:rsid w:val="007903E3"/>
    <w:rsid w:val="007930E8"/>
    <w:rsid w:val="007972D4"/>
    <w:rsid w:val="0079760B"/>
    <w:rsid w:val="007A110E"/>
    <w:rsid w:val="007A24AD"/>
    <w:rsid w:val="007A743B"/>
    <w:rsid w:val="007A7E54"/>
    <w:rsid w:val="007B1725"/>
    <w:rsid w:val="007B51AA"/>
    <w:rsid w:val="007B567D"/>
    <w:rsid w:val="007B62CA"/>
    <w:rsid w:val="007C04B7"/>
    <w:rsid w:val="007C5058"/>
    <w:rsid w:val="007C5354"/>
    <w:rsid w:val="007C681E"/>
    <w:rsid w:val="007D2AD4"/>
    <w:rsid w:val="007D4512"/>
    <w:rsid w:val="007D4D27"/>
    <w:rsid w:val="007D5D2E"/>
    <w:rsid w:val="007D6A62"/>
    <w:rsid w:val="007D73E9"/>
    <w:rsid w:val="007D7A21"/>
    <w:rsid w:val="007E3DCA"/>
    <w:rsid w:val="007E4539"/>
    <w:rsid w:val="007E49D9"/>
    <w:rsid w:val="007E5CBF"/>
    <w:rsid w:val="007F0630"/>
    <w:rsid w:val="007F176A"/>
    <w:rsid w:val="007F24D1"/>
    <w:rsid w:val="007F77E1"/>
    <w:rsid w:val="007F7F75"/>
    <w:rsid w:val="00800617"/>
    <w:rsid w:val="00802EFD"/>
    <w:rsid w:val="008038EE"/>
    <w:rsid w:val="0080469D"/>
    <w:rsid w:val="00805E93"/>
    <w:rsid w:val="00805FB6"/>
    <w:rsid w:val="00807424"/>
    <w:rsid w:val="008134F6"/>
    <w:rsid w:val="00814A3E"/>
    <w:rsid w:val="00815721"/>
    <w:rsid w:val="00816CF0"/>
    <w:rsid w:val="008240ED"/>
    <w:rsid w:val="00825296"/>
    <w:rsid w:val="00827048"/>
    <w:rsid w:val="00827184"/>
    <w:rsid w:val="00837364"/>
    <w:rsid w:val="00846DBE"/>
    <w:rsid w:val="00851C9B"/>
    <w:rsid w:val="00854277"/>
    <w:rsid w:val="00861573"/>
    <w:rsid w:val="00862BAB"/>
    <w:rsid w:val="00865501"/>
    <w:rsid w:val="008673BB"/>
    <w:rsid w:val="00872B16"/>
    <w:rsid w:val="00873C8A"/>
    <w:rsid w:val="00880636"/>
    <w:rsid w:val="00884DCF"/>
    <w:rsid w:val="00885077"/>
    <w:rsid w:val="00887400"/>
    <w:rsid w:val="008929C7"/>
    <w:rsid w:val="0089517D"/>
    <w:rsid w:val="00897843"/>
    <w:rsid w:val="008A587A"/>
    <w:rsid w:val="008B0520"/>
    <w:rsid w:val="008B1510"/>
    <w:rsid w:val="008B1546"/>
    <w:rsid w:val="008B16D5"/>
    <w:rsid w:val="008B3684"/>
    <w:rsid w:val="008B3CD7"/>
    <w:rsid w:val="008B6891"/>
    <w:rsid w:val="008B6911"/>
    <w:rsid w:val="008C0F22"/>
    <w:rsid w:val="008C120B"/>
    <w:rsid w:val="008C4929"/>
    <w:rsid w:val="008C53DA"/>
    <w:rsid w:val="008D1192"/>
    <w:rsid w:val="008D3DEF"/>
    <w:rsid w:val="008D4343"/>
    <w:rsid w:val="008D4E51"/>
    <w:rsid w:val="008D52EC"/>
    <w:rsid w:val="008D5A7D"/>
    <w:rsid w:val="008E2539"/>
    <w:rsid w:val="008F1A5F"/>
    <w:rsid w:val="008F1EA5"/>
    <w:rsid w:val="008F2599"/>
    <w:rsid w:val="008F45BE"/>
    <w:rsid w:val="008F5AE9"/>
    <w:rsid w:val="00900060"/>
    <w:rsid w:val="00900BFC"/>
    <w:rsid w:val="0090153C"/>
    <w:rsid w:val="0090377C"/>
    <w:rsid w:val="009041ED"/>
    <w:rsid w:val="009103A2"/>
    <w:rsid w:val="009167A1"/>
    <w:rsid w:val="00921EA9"/>
    <w:rsid w:val="00927A44"/>
    <w:rsid w:val="00934759"/>
    <w:rsid w:val="00935161"/>
    <w:rsid w:val="0093650D"/>
    <w:rsid w:val="00936B09"/>
    <w:rsid w:val="00937DEE"/>
    <w:rsid w:val="0094006F"/>
    <w:rsid w:val="00943535"/>
    <w:rsid w:val="009442AD"/>
    <w:rsid w:val="0094628B"/>
    <w:rsid w:val="009501BD"/>
    <w:rsid w:val="0095233B"/>
    <w:rsid w:val="00955403"/>
    <w:rsid w:val="009555F3"/>
    <w:rsid w:val="00955D3F"/>
    <w:rsid w:val="00955D62"/>
    <w:rsid w:val="00957040"/>
    <w:rsid w:val="00957F06"/>
    <w:rsid w:val="009627EF"/>
    <w:rsid w:val="0096300D"/>
    <w:rsid w:val="00971DD2"/>
    <w:rsid w:val="00974640"/>
    <w:rsid w:val="009778D6"/>
    <w:rsid w:val="00981159"/>
    <w:rsid w:val="0098237A"/>
    <w:rsid w:val="009824B5"/>
    <w:rsid w:val="00985F61"/>
    <w:rsid w:val="0098791B"/>
    <w:rsid w:val="009A0950"/>
    <w:rsid w:val="009A2477"/>
    <w:rsid w:val="009A2850"/>
    <w:rsid w:val="009A7682"/>
    <w:rsid w:val="009B1C6A"/>
    <w:rsid w:val="009B5220"/>
    <w:rsid w:val="009C3CE6"/>
    <w:rsid w:val="009C3E55"/>
    <w:rsid w:val="009C571F"/>
    <w:rsid w:val="009C60B9"/>
    <w:rsid w:val="009D02A6"/>
    <w:rsid w:val="009D0C73"/>
    <w:rsid w:val="009D11F0"/>
    <w:rsid w:val="009D1F0B"/>
    <w:rsid w:val="009D2429"/>
    <w:rsid w:val="009D31E4"/>
    <w:rsid w:val="009D3B15"/>
    <w:rsid w:val="009D6DD6"/>
    <w:rsid w:val="009E1330"/>
    <w:rsid w:val="009E42AC"/>
    <w:rsid w:val="009F58E1"/>
    <w:rsid w:val="009F7796"/>
    <w:rsid w:val="009F7B48"/>
    <w:rsid w:val="009F7EDF"/>
    <w:rsid w:val="00A036FB"/>
    <w:rsid w:val="00A118C6"/>
    <w:rsid w:val="00A1198B"/>
    <w:rsid w:val="00A14610"/>
    <w:rsid w:val="00A1464D"/>
    <w:rsid w:val="00A17F2D"/>
    <w:rsid w:val="00A21968"/>
    <w:rsid w:val="00A2342B"/>
    <w:rsid w:val="00A268D2"/>
    <w:rsid w:val="00A31801"/>
    <w:rsid w:val="00A354F3"/>
    <w:rsid w:val="00A36BF4"/>
    <w:rsid w:val="00A42C4C"/>
    <w:rsid w:val="00A441A5"/>
    <w:rsid w:val="00A4578F"/>
    <w:rsid w:val="00A47F03"/>
    <w:rsid w:val="00A5288F"/>
    <w:rsid w:val="00A52D44"/>
    <w:rsid w:val="00A53358"/>
    <w:rsid w:val="00A537C2"/>
    <w:rsid w:val="00A53E21"/>
    <w:rsid w:val="00A55458"/>
    <w:rsid w:val="00A56383"/>
    <w:rsid w:val="00A571E7"/>
    <w:rsid w:val="00A61300"/>
    <w:rsid w:val="00A61EEB"/>
    <w:rsid w:val="00A65296"/>
    <w:rsid w:val="00A65951"/>
    <w:rsid w:val="00A66E0C"/>
    <w:rsid w:val="00A70920"/>
    <w:rsid w:val="00A72894"/>
    <w:rsid w:val="00A72CD2"/>
    <w:rsid w:val="00A76199"/>
    <w:rsid w:val="00A76565"/>
    <w:rsid w:val="00A8158F"/>
    <w:rsid w:val="00A81E51"/>
    <w:rsid w:val="00A8313D"/>
    <w:rsid w:val="00A846B2"/>
    <w:rsid w:val="00A92942"/>
    <w:rsid w:val="00A94003"/>
    <w:rsid w:val="00A95303"/>
    <w:rsid w:val="00A97827"/>
    <w:rsid w:val="00A97D9E"/>
    <w:rsid w:val="00AA2212"/>
    <w:rsid w:val="00AA7619"/>
    <w:rsid w:val="00AB0757"/>
    <w:rsid w:val="00AC0ABA"/>
    <w:rsid w:val="00AC1A2F"/>
    <w:rsid w:val="00AC1A36"/>
    <w:rsid w:val="00AC3411"/>
    <w:rsid w:val="00AC4B63"/>
    <w:rsid w:val="00AC6F18"/>
    <w:rsid w:val="00AC70E3"/>
    <w:rsid w:val="00AC7C7D"/>
    <w:rsid w:val="00AD0C5D"/>
    <w:rsid w:val="00AD352F"/>
    <w:rsid w:val="00AD41D6"/>
    <w:rsid w:val="00AD4868"/>
    <w:rsid w:val="00AE0FFF"/>
    <w:rsid w:val="00AE2938"/>
    <w:rsid w:val="00AE3204"/>
    <w:rsid w:val="00AE43EB"/>
    <w:rsid w:val="00AE5AC2"/>
    <w:rsid w:val="00AE645D"/>
    <w:rsid w:val="00AE6A87"/>
    <w:rsid w:val="00AE708E"/>
    <w:rsid w:val="00AF532B"/>
    <w:rsid w:val="00B024CA"/>
    <w:rsid w:val="00B14D85"/>
    <w:rsid w:val="00B15E3D"/>
    <w:rsid w:val="00B22A40"/>
    <w:rsid w:val="00B23BD0"/>
    <w:rsid w:val="00B26213"/>
    <w:rsid w:val="00B3071E"/>
    <w:rsid w:val="00B3336F"/>
    <w:rsid w:val="00B333AD"/>
    <w:rsid w:val="00B33901"/>
    <w:rsid w:val="00B3474C"/>
    <w:rsid w:val="00B34B2A"/>
    <w:rsid w:val="00B36E79"/>
    <w:rsid w:val="00B42960"/>
    <w:rsid w:val="00B431CB"/>
    <w:rsid w:val="00B460DF"/>
    <w:rsid w:val="00B46907"/>
    <w:rsid w:val="00B46AC1"/>
    <w:rsid w:val="00B47211"/>
    <w:rsid w:val="00B511D5"/>
    <w:rsid w:val="00B56A8B"/>
    <w:rsid w:val="00B56EBF"/>
    <w:rsid w:val="00B60FF9"/>
    <w:rsid w:val="00B62CEF"/>
    <w:rsid w:val="00B63596"/>
    <w:rsid w:val="00B6406B"/>
    <w:rsid w:val="00B64958"/>
    <w:rsid w:val="00B65BD4"/>
    <w:rsid w:val="00B70C69"/>
    <w:rsid w:val="00B715A0"/>
    <w:rsid w:val="00B71CD4"/>
    <w:rsid w:val="00B759FB"/>
    <w:rsid w:val="00B80454"/>
    <w:rsid w:val="00B8089D"/>
    <w:rsid w:val="00B80E7A"/>
    <w:rsid w:val="00B81A96"/>
    <w:rsid w:val="00B82123"/>
    <w:rsid w:val="00B85C50"/>
    <w:rsid w:val="00B91198"/>
    <w:rsid w:val="00B91EEB"/>
    <w:rsid w:val="00B935D9"/>
    <w:rsid w:val="00B94840"/>
    <w:rsid w:val="00B977BE"/>
    <w:rsid w:val="00BA23EA"/>
    <w:rsid w:val="00BA7E9D"/>
    <w:rsid w:val="00BB1520"/>
    <w:rsid w:val="00BB4E9C"/>
    <w:rsid w:val="00BB520B"/>
    <w:rsid w:val="00BB6980"/>
    <w:rsid w:val="00BC0529"/>
    <w:rsid w:val="00BC088C"/>
    <w:rsid w:val="00BC1588"/>
    <w:rsid w:val="00BC4B78"/>
    <w:rsid w:val="00BC5F8E"/>
    <w:rsid w:val="00BC6B5A"/>
    <w:rsid w:val="00BC6EFC"/>
    <w:rsid w:val="00BE244F"/>
    <w:rsid w:val="00BE4249"/>
    <w:rsid w:val="00BE437C"/>
    <w:rsid w:val="00BE49DC"/>
    <w:rsid w:val="00BE518F"/>
    <w:rsid w:val="00BE7785"/>
    <w:rsid w:val="00BF0EDD"/>
    <w:rsid w:val="00BF1299"/>
    <w:rsid w:val="00BF3688"/>
    <w:rsid w:val="00BF420D"/>
    <w:rsid w:val="00BF57DB"/>
    <w:rsid w:val="00BF7539"/>
    <w:rsid w:val="00BF7F01"/>
    <w:rsid w:val="00C012E9"/>
    <w:rsid w:val="00C05713"/>
    <w:rsid w:val="00C0592D"/>
    <w:rsid w:val="00C12B9B"/>
    <w:rsid w:val="00C15569"/>
    <w:rsid w:val="00C16EE6"/>
    <w:rsid w:val="00C24671"/>
    <w:rsid w:val="00C26C01"/>
    <w:rsid w:val="00C26C48"/>
    <w:rsid w:val="00C30262"/>
    <w:rsid w:val="00C30CFE"/>
    <w:rsid w:val="00C31BCD"/>
    <w:rsid w:val="00C31FD3"/>
    <w:rsid w:val="00C328B5"/>
    <w:rsid w:val="00C32F12"/>
    <w:rsid w:val="00C3456D"/>
    <w:rsid w:val="00C350D3"/>
    <w:rsid w:val="00C4095E"/>
    <w:rsid w:val="00C42735"/>
    <w:rsid w:val="00C44C3B"/>
    <w:rsid w:val="00C51B61"/>
    <w:rsid w:val="00C56214"/>
    <w:rsid w:val="00C564A9"/>
    <w:rsid w:val="00C60150"/>
    <w:rsid w:val="00C72B5B"/>
    <w:rsid w:val="00C74326"/>
    <w:rsid w:val="00C74876"/>
    <w:rsid w:val="00C74EAF"/>
    <w:rsid w:val="00C75984"/>
    <w:rsid w:val="00C76DA8"/>
    <w:rsid w:val="00C77FD1"/>
    <w:rsid w:val="00C81C2B"/>
    <w:rsid w:val="00C85E6A"/>
    <w:rsid w:val="00C916C8"/>
    <w:rsid w:val="00CA4F91"/>
    <w:rsid w:val="00CA6C08"/>
    <w:rsid w:val="00CA71D1"/>
    <w:rsid w:val="00CB0A2F"/>
    <w:rsid w:val="00CB2FAE"/>
    <w:rsid w:val="00CB3B0A"/>
    <w:rsid w:val="00CC07F1"/>
    <w:rsid w:val="00CC182C"/>
    <w:rsid w:val="00CC2107"/>
    <w:rsid w:val="00CC3D01"/>
    <w:rsid w:val="00CC6003"/>
    <w:rsid w:val="00CC7D1C"/>
    <w:rsid w:val="00CD1D5F"/>
    <w:rsid w:val="00CD252A"/>
    <w:rsid w:val="00CD28E3"/>
    <w:rsid w:val="00CD2EDE"/>
    <w:rsid w:val="00CD4BF0"/>
    <w:rsid w:val="00CD5571"/>
    <w:rsid w:val="00CD7A1F"/>
    <w:rsid w:val="00CE01DA"/>
    <w:rsid w:val="00CE2656"/>
    <w:rsid w:val="00CE4D59"/>
    <w:rsid w:val="00CE6843"/>
    <w:rsid w:val="00CF124B"/>
    <w:rsid w:val="00CF2732"/>
    <w:rsid w:val="00CF2DA1"/>
    <w:rsid w:val="00CF2E89"/>
    <w:rsid w:val="00CF7E94"/>
    <w:rsid w:val="00D007D2"/>
    <w:rsid w:val="00D00E6F"/>
    <w:rsid w:val="00D01009"/>
    <w:rsid w:val="00D016D9"/>
    <w:rsid w:val="00D03E68"/>
    <w:rsid w:val="00D04CE5"/>
    <w:rsid w:val="00D06F31"/>
    <w:rsid w:val="00D101A3"/>
    <w:rsid w:val="00D10E93"/>
    <w:rsid w:val="00D1141D"/>
    <w:rsid w:val="00D136CC"/>
    <w:rsid w:val="00D170FE"/>
    <w:rsid w:val="00D177C8"/>
    <w:rsid w:val="00D2027D"/>
    <w:rsid w:val="00D23A44"/>
    <w:rsid w:val="00D2669B"/>
    <w:rsid w:val="00D306EE"/>
    <w:rsid w:val="00D32A80"/>
    <w:rsid w:val="00D3738B"/>
    <w:rsid w:val="00D37A81"/>
    <w:rsid w:val="00D471DD"/>
    <w:rsid w:val="00D473AB"/>
    <w:rsid w:val="00D4744B"/>
    <w:rsid w:val="00D47457"/>
    <w:rsid w:val="00D4786A"/>
    <w:rsid w:val="00D50392"/>
    <w:rsid w:val="00D55D25"/>
    <w:rsid w:val="00D6147A"/>
    <w:rsid w:val="00D61C45"/>
    <w:rsid w:val="00D6352E"/>
    <w:rsid w:val="00D64232"/>
    <w:rsid w:val="00D7511A"/>
    <w:rsid w:val="00D77AB9"/>
    <w:rsid w:val="00D82BF9"/>
    <w:rsid w:val="00D90707"/>
    <w:rsid w:val="00D91157"/>
    <w:rsid w:val="00D940BF"/>
    <w:rsid w:val="00D953DF"/>
    <w:rsid w:val="00D95C34"/>
    <w:rsid w:val="00D95F69"/>
    <w:rsid w:val="00D968B9"/>
    <w:rsid w:val="00DA5C83"/>
    <w:rsid w:val="00DA7F6F"/>
    <w:rsid w:val="00DB1C8C"/>
    <w:rsid w:val="00DB3B53"/>
    <w:rsid w:val="00DB4703"/>
    <w:rsid w:val="00DB5C7D"/>
    <w:rsid w:val="00DB6189"/>
    <w:rsid w:val="00DB73A6"/>
    <w:rsid w:val="00DC2FEB"/>
    <w:rsid w:val="00DC343C"/>
    <w:rsid w:val="00DC3C2A"/>
    <w:rsid w:val="00DC40CD"/>
    <w:rsid w:val="00DC4419"/>
    <w:rsid w:val="00DC58DB"/>
    <w:rsid w:val="00DC6886"/>
    <w:rsid w:val="00DD1087"/>
    <w:rsid w:val="00DD30B6"/>
    <w:rsid w:val="00DD3FE9"/>
    <w:rsid w:val="00DD4D01"/>
    <w:rsid w:val="00DD6A75"/>
    <w:rsid w:val="00DE46E5"/>
    <w:rsid w:val="00DE5190"/>
    <w:rsid w:val="00DE7863"/>
    <w:rsid w:val="00DE7D26"/>
    <w:rsid w:val="00DF0C20"/>
    <w:rsid w:val="00DF1523"/>
    <w:rsid w:val="00DF272D"/>
    <w:rsid w:val="00DF2C3F"/>
    <w:rsid w:val="00DF631F"/>
    <w:rsid w:val="00DF7629"/>
    <w:rsid w:val="00E02A25"/>
    <w:rsid w:val="00E10417"/>
    <w:rsid w:val="00E1247D"/>
    <w:rsid w:val="00E17994"/>
    <w:rsid w:val="00E17F79"/>
    <w:rsid w:val="00E20A69"/>
    <w:rsid w:val="00E2118D"/>
    <w:rsid w:val="00E21AC2"/>
    <w:rsid w:val="00E22F84"/>
    <w:rsid w:val="00E245BB"/>
    <w:rsid w:val="00E255DB"/>
    <w:rsid w:val="00E30289"/>
    <w:rsid w:val="00E31E3C"/>
    <w:rsid w:val="00E32384"/>
    <w:rsid w:val="00E3321A"/>
    <w:rsid w:val="00E33C87"/>
    <w:rsid w:val="00E409F9"/>
    <w:rsid w:val="00E53000"/>
    <w:rsid w:val="00E54712"/>
    <w:rsid w:val="00E56CC6"/>
    <w:rsid w:val="00E64479"/>
    <w:rsid w:val="00E6586F"/>
    <w:rsid w:val="00E712C5"/>
    <w:rsid w:val="00E7612F"/>
    <w:rsid w:val="00E81860"/>
    <w:rsid w:val="00E90191"/>
    <w:rsid w:val="00E91191"/>
    <w:rsid w:val="00E91987"/>
    <w:rsid w:val="00E943EB"/>
    <w:rsid w:val="00E94AE8"/>
    <w:rsid w:val="00E95CB6"/>
    <w:rsid w:val="00E96A51"/>
    <w:rsid w:val="00E97386"/>
    <w:rsid w:val="00EA00DB"/>
    <w:rsid w:val="00EA4297"/>
    <w:rsid w:val="00EA50EA"/>
    <w:rsid w:val="00EB156B"/>
    <w:rsid w:val="00EB17DC"/>
    <w:rsid w:val="00EB1B61"/>
    <w:rsid w:val="00EB2AF6"/>
    <w:rsid w:val="00ED108B"/>
    <w:rsid w:val="00ED7B85"/>
    <w:rsid w:val="00EE0011"/>
    <w:rsid w:val="00EE02FE"/>
    <w:rsid w:val="00EE1CC7"/>
    <w:rsid w:val="00EF0483"/>
    <w:rsid w:val="00EF0996"/>
    <w:rsid w:val="00EF0CA9"/>
    <w:rsid w:val="00EF1916"/>
    <w:rsid w:val="00EF4334"/>
    <w:rsid w:val="00EF6B3A"/>
    <w:rsid w:val="00EF7035"/>
    <w:rsid w:val="00F005E4"/>
    <w:rsid w:val="00F04DF1"/>
    <w:rsid w:val="00F10EDF"/>
    <w:rsid w:val="00F12115"/>
    <w:rsid w:val="00F13430"/>
    <w:rsid w:val="00F1552D"/>
    <w:rsid w:val="00F15A63"/>
    <w:rsid w:val="00F16716"/>
    <w:rsid w:val="00F17B1C"/>
    <w:rsid w:val="00F25C59"/>
    <w:rsid w:val="00F319F2"/>
    <w:rsid w:val="00F33AC6"/>
    <w:rsid w:val="00F33F71"/>
    <w:rsid w:val="00F34130"/>
    <w:rsid w:val="00F36378"/>
    <w:rsid w:val="00F478A0"/>
    <w:rsid w:val="00F52D0E"/>
    <w:rsid w:val="00F52E6F"/>
    <w:rsid w:val="00F53414"/>
    <w:rsid w:val="00F7143D"/>
    <w:rsid w:val="00F71A18"/>
    <w:rsid w:val="00F726B6"/>
    <w:rsid w:val="00F72F11"/>
    <w:rsid w:val="00F73D17"/>
    <w:rsid w:val="00F7473B"/>
    <w:rsid w:val="00F779AE"/>
    <w:rsid w:val="00F80132"/>
    <w:rsid w:val="00F803D1"/>
    <w:rsid w:val="00F819AF"/>
    <w:rsid w:val="00F81FC2"/>
    <w:rsid w:val="00F86A01"/>
    <w:rsid w:val="00F87DA4"/>
    <w:rsid w:val="00F87E24"/>
    <w:rsid w:val="00F91A79"/>
    <w:rsid w:val="00F94489"/>
    <w:rsid w:val="00F9617B"/>
    <w:rsid w:val="00F96227"/>
    <w:rsid w:val="00F968F0"/>
    <w:rsid w:val="00F97263"/>
    <w:rsid w:val="00FA298D"/>
    <w:rsid w:val="00FA47E0"/>
    <w:rsid w:val="00FA480F"/>
    <w:rsid w:val="00FB17B9"/>
    <w:rsid w:val="00FB2B68"/>
    <w:rsid w:val="00FB2ECB"/>
    <w:rsid w:val="00FB5A1E"/>
    <w:rsid w:val="00FB608D"/>
    <w:rsid w:val="00FB69EA"/>
    <w:rsid w:val="00FB6CE5"/>
    <w:rsid w:val="00FC0FB7"/>
    <w:rsid w:val="00FC10E9"/>
    <w:rsid w:val="00FC2585"/>
    <w:rsid w:val="00FC5C1C"/>
    <w:rsid w:val="00FC6B61"/>
    <w:rsid w:val="00FD2250"/>
    <w:rsid w:val="00FD47C9"/>
    <w:rsid w:val="00FD7961"/>
    <w:rsid w:val="00FD7A0A"/>
    <w:rsid w:val="00FE2946"/>
    <w:rsid w:val="00FE3268"/>
    <w:rsid w:val="00FE3E45"/>
    <w:rsid w:val="00FF00A3"/>
    <w:rsid w:val="00FF1426"/>
    <w:rsid w:val="00FF37D8"/>
    <w:rsid w:val="00FF3BB6"/>
    <w:rsid w:val="00FF4C32"/>
    <w:rsid w:val="00FF5F9B"/>
    <w:rsid w:val="00FF7DF3"/>
    <w:rsid w:val="00FF7FF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E5"/>
    <w:rPr>
      <w:sz w:val="24"/>
      <w:szCs w:val="24"/>
    </w:rPr>
  </w:style>
  <w:style w:type="paragraph" w:styleId="Heading1">
    <w:name w:val="heading 1"/>
    <w:basedOn w:val="Normal"/>
    <w:next w:val="Normal"/>
    <w:qFormat/>
    <w:rsid w:val="001024E5"/>
    <w:pPr>
      <w:keepNext/>
      <w:outlineLvl w:val="0"/>
    </w:pPr>
    <w:rPr>
      <w:rFonts w:ascii="Arial Black" w:hAnsi="Arial Black"/>
      <w:u w:val="single"/>
    </w:rPr>
  </w:style>
  <w:style w:type="paragraph" w:styleId="Heading2">
    <w:name w:val="heading 2"/>
    <w:basedOn w:val="Normal"/>
    <w:next w:val="Normal"/>
    <w:qFormat/>
    <w:rsid w:val="001024E5"/>
    <w:pPr>
      <w:keepNext/>
      <w:outlineLvl w:val="1"/>
    </w:pPr>
    <w:rPr>
      <w:rFonts w:ascii="Bookman Old Style" w:hAnsi="Bookman Old Style"/>
      <w:b/>
      <w:bCs/>
    </w:rPr>
  </w:style>
  <w:style w:type="paragraph" w:styleId="Heading3">
    <w:name w:val="heading 3"/>
    <w:basedOn w:val="Normal"/>
    <w:next w:val="Normal"/>
    <w:qFormat/>
    <w:rsid w:val="001024E5"/>
    <w:pPr>
      <w:keepNext/>
      <w:spacing w:line="360" w:lineRule="auto"/>
      <w:outlineLvl w:val="2"/>
    </w:pPr>
    <w:rPr>
      <w:rFonts w:ascii="Bookman Old Style" w:hAnsi="Bookman Old Style"/>
      <w:sz w:val="32"/>
    </w:rPr>
  </w:style>
  <w:style w:type="paragraph" w:styleId="Heading4">
    <w:name w:val="heading 4"/>
    <w:basedOn w:val="Normal"/>
    <w:next w:val="Normal"/>
    <w:qFormat/>
    <w:rsid w:val="001024E5"/>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1024E5"/>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1024E5"/>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1024E5"/>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1024E5"/>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24E5"/>
    <w:pPr>
      <w:jc w:val="center"/>
    </w:pPr>
    <w:rPr>
      <w:rFonts w:ascii="Arial Black" w:hAnsi="Arial Black"/>
      <w:b/>
      <w:bCs/>
      <w:sz w:val="32"/>
    </w:rPr>
  </w:style>
  <w:style w:type="paragraph" w:styleId="Header">
    <w:name w:val="header"/>
    <w:basedOn w:val="Normal"/>
    <w:link w:val="HeaderChar"/>
    <w:uiPriority w:val="99"/>
    <w:rsid w:val="001024E5"/>
    <w:pPr>
      <w:tabs>
        <w:tab w:val="center" w:pos="4320"/>
        <w:tab w:val="right" w:pos="8640"/>
      </w:tabs>
    </w:pPr>
  </w:style>
  <w:style w:type="character" w:styleId="PageNumber">
    <w:name w:val="page number"/>
    <w:basedOn w:val="DefaultParagraphFont"/>
    <w:rsid w:val="001024E5"/>
  </w:style>
  <w:style w:type="paragraph" w:styleId="Footer">
    <w:name w:val="footer"/>
    <w:basedOn w:val="Normal"/>
    <w:rsid w:val="001024E5"/>
    <w:pPr>
      <w:tabs>
        <w:tab w:val="center" w:pos="4320"/>
        <w:tab w:val="right" w:pos="8640"/>
      </w:tabs>
    </w:pPr>
  </w:style>
  <w:style w:type="paragraph" w:styleId="BodyText">
    <w:name w:val="Body Text"/>
    <w:basedOn w:val="Normal"/>
    <w:rsid w:val="001024E5"/>
    <w:pPr>
      <w:spacing w:line="360" w:lineRule="auto"/>
      <w:jc w:val="both"/>
    </w:pPr>
    <w:rPr>
      <w:rFonts w:ascii="Bookman Old Style" w:hAnsi="Bookman Old Style"/>
      <w:sz w:val="32"/>
    </w:rPr>
  </w:style>
  <w:style w:type="paragraph" w:styleId="BodyTextIndent">
    <w:name w:val="Body Text Indent"/>
    <w:basedOn w:val="Normal"/>
    <w:rsid w:val="001024E5"/>
    <w:pPr>
      <w:spacing w:line="360" w:lineRule="auto"/>
      <w:ind w:firstLine="576"/>
      <w:jc w:val="both"/>
    </w:pPr>
    <w:rPr>
      <w:rFonts w:ascii="Tahoma" w:hAnsi="Tahoma" w:cs="Tahoma"/>
      <w:sz w:val="28"/>
    </w:rPr>
  </w:style>
  <w:style w:type="paragraph" w:styleId="BodyTextIndent2">
    <w:name w:val="Body Text Indent 2"/>
    <w:basedOn w:val="Normal"/>
    <w:rsid w:val="001024E5"/>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1024E5"/>
    <w:pPr>
      <w:spacing w:line="360" w:lineRule="auto"/>
      <w:jc w:val="both"/>
    </w:pPr>
    <w:rPr>
      <w:rFonts w:ascii="Tahoma" w:hAnsi="Tahoma" w:cs="Tahoma"/>
      <w:sz w:val="28"/>
    </w:rPr>
  </w:style>
  <w:style w:type="paragraph" w:styleId="BodyTextIndent3">
    <w:name w:val="Body Text Indent 3"/>
    <w:basedOn w:val="Normal"/>
    <w:rsid w:val="001024E5"/>
    <w:pPr>
      <w:spacing w:line="360" w:lineRule="auto"/>
      <w:ind w:left="360"/>
      <w:jc w:val="both"/>
    </w:pPr>
    <w:rPr>
      <w:rFonts w:ascii="Comic Sans MS" w:hAnsi="Comic Sans MS" w:cs="Tahoma"/>
      <w:b/>
      <w:bCs/>
      <w:sz w:val="28"/>
    </w:rPr>
  </w:style>
  <w:style w:type="paragraph" w:styleId="BodyText3">
    <w:name w:val="Body Text 3"/>
    <w:basedOn w:val="Normal"/>
    <w:rsid w:val="001024E5"/>
    <w:pPr>
      <w:spacing w:line="360" w:lineRule="auto"/>
      <w:jc w:val="both"/>
    </w:pPr>
    <w:rPr>
      <w:rFonts w:ascii="Franklin Gothic Medium" w:hAnsi="Franklin Gothic Medium" w:cs="Tahoma"/>
      <w:b/>
      <w:bCs/>
    </w:rPr>
  </w:style>
  <w:style w:type="paragraph" w:styleId="BlockText">
    <w:name w:val="Block Text"/>
    <w:basedOn w:val="Normal"/>
    <w:rsid w:val="001024E5"/>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0D78-2D5A-4A7B-BD3B-49705385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32191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NOYI</dc:creator>
  <cp:lastModifiedBy>admin</cp:lastModifiedBy>
  <cp:revision>17</cp:revision>
  <cp:lastPrinted>2012-03-07T07:36:00Z</cp:lastPrinted>
  <dcterms:created xsi:type="dcterms:W3CDTF">2012-03-07T09:17:00Z</dcterms:created>
  <dcterms:modified xsi:type="dcterms:W3CDTF">2012-08-08T09:45:00Z</dcterms:modified>
</cp:coreProperties>
</file>